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A2" w:rsidRDefault="00C71FA2" w:rsidP="00C71FA2">
      <w:pPr>
        <w:spacing w:before="100" w:beforeAutospacing="1" w:after="100" w:afterAutospacing="1"/>
        <w:rPr>
          <w:rFonts w:ascii="Book Antiqua" w:hAnsi="Book Antiqua"/>
          <w:b/>
          <w:color w:val="0000FF"/>
          <w:sz w:val="24"/>
        </w:rPr>
      </w:pPr>
      <w:r w:rsidRPr="004F01DC">
        <w:rPr>
          <w:rFonts w:ascii="Book Antiqua" w:hAnsi="Book Antiqua"/>
          <w:b/>
          <w:color w:val="0000FF"/>
          <w:sz w:val="24"/>
        </w:rPr>
        <w:t>Acoustics, Ventilation and Overheating Residential Design Guide</w:t>
      </w:r>
    </w:p>
    <w:p w:rsidR="00284052" w:rsidRPr="00F22B93" w:rsidRDefault="00284052" w:rsidP="00284052">
      <w:pPr>
        <w:spacing w:after="240"/>
        <w:ind w:right="-187"/>
        <w:rPr>
          <w:rFonts w:ascii="Book Antiqua" w:hAnsi="Book Antiqua"/>
          <w:sz w:val="21"/>
        </w:rPr>
      </w:pPr>
      <w:r w:rsidRPr="00F22B93">
        <w:rPr>
          <w:rFonts w:ascii="Book Antiqua" w:hAnsi="Book Antiqua"/>
          <w:sz w:val="21"/>
        </w:rPr>
        <w:t>The Acoustics Ventilation and Overheating – Residential Design Guide</w:t>
      </w:r>
      <w:r>
        <w:rPr>
          <w:rFonts w:ascii="Book Antiqua" w:hAnsi="Book Antiqua"/>
          <w:sz w:val="21"/>
        </w:rPr>
        <w:t xml:space="preserve"> was published </w:t>
      </w:r>
      <w:r w:rsidRPr="00F22B93">
        <w:rPr>
          <w:rFonts w:ascii="Book Antiqua" w:hAnsi="Book Antiqua"/>
          <w:sz w:val="21"/>
        </w:rPr>
        <w:t>by the Association of Noise Consultants (ANC)</w:t>
      </w:r>
      <w:r>
        <w:rPr>
          <w:rFonts w:ascii="Book Antiqua" w:hAnsi="Book Antiqua"/>
          <w:sz w:val="21"/>
        </w:rPr>
        <w:t xml:space="preserve"> in January 2020.  This followed the publishing of the</w:t>
      </w:r>
      <w:r w:rsidRPr="00F22B93">
        <w:rPr>
          <w:rFonts w:ascii="Book Antiqua" w:hAnsi="Book Antiqua"/>
          <w:sz w:val="21"/>
        </w:rPr>
        <w:t xml:space="preserve"> Draft for Consultation published in March 2018.</w:t>
      </w:r>
    </w:p>
    <w:p w:rsidR="00FD16F1" w:rsidRPr="0005731C" w:rsidRDefault="00284052" w:rsidP="00FD16F1">
      <w:pPr>
        <w:spacing w:after="240"/>
        <w:ind w:right="-187"/>
        <w:rPr>
          <w:rFonts w:ascii="Book Antiqua" w:hAnsi="Book Antiqua"/>
          <w:sz w:val="21"/>
        </w:rPr>
      </w:pPr>
      <w:r w:rsidRPr="00FD16F1">
        <w:rPr>
          <w:rFonts w:ascii="Book Antiqua" w:hAnsi="Book Antiqua"/>
          <w:sz w:val="21"/>
        </w:rPr>
        <w:t>The Guide promotes an approach to environmental noise assessments for new residential developments that tak</w:t>
      </w:r>
      <w:r w:rsidRPr="0005731C">
        <w:rPr>
          <w:rFonts w:ascii="Book Antiqua" w:hAnsi="Book Antiqua"/>
          <w:sz w:val="21"/>
        </w:rPr>
        <w:t>es account of the interdependence of any acoustic measures that may be required, the ventilation provision and the need to avoid overheating</w:t>
      </w:r>
      <w:r w:rsidR="00FD16F1" w:rsidRPr="0005731C">
        <w:rPr>
          <w:rFonts w:ascii="Book Antiqua" w:hAnsi="Book Antiqua"/>
          <w:sz w:val="21"/>
        </w:rPr>
        <w:t>, demonstrating how the competing aspects of thermal and acoustic comfort can be managed.</w:t>
      </w:r>
    </w:p>
    <w:p w:rsidR="00284052" w:rsidRPr="0005731C" w:rsidRDefault="00750E87" w:rsidP="00284052">
      <w:pPr>
        <w:spacing w:after="240"/>
        <w:ind w:right="-187"/>
        <w:rPr>
          <w:rFonts w:ascii="Book Antiqua" w:hAnsi="Book Antiqua"/>
          <w:sz w:val="21"/>
        </w:rPr>
      </w:pPr>
      <w:r w:rsidRPr="0005731C">
        <w:rPr>
          <w:rFonts w:ascii="Book Antiqua" w:hAnsi="Book Antiqua"/>
          <w:sz w:val="21"/>
        </w:rPr>
        <w:t>Specific recommendation</w:t>
      </w:r>
      <w:r w:rsidR="00A62F2A" w:rsidRPr="0005731C">
        <w:rPr>
          <w:rFonts w:ascii="Book Antiqua" w:hAnsi="Book Antiqua"/>
          <w:sz w:val="21"/>
        </w:rPr>
        <w:t>s</w:t>
      </w:r>
      <w:r w:rsidRPr="0005731C">
        <w:rPr>
          <w:rFonts w:ascii="Book Antiqua" w:hAnsi="Book Antiqua"/>
          <w:sz w:val="21"/>
        </w:rPr>
        <w:t xml:space="preserve"> made by t</w:t>
      </w:r>
      <w:r w:rsidR="00F92395" w:rsidRPr="0005731C">
        <w:rPr>
          <w:rFonts w:ascii="Book Antiqua" w:hAnsi="Book Antiqua"/>
          <w:sz w:val="21"/>
        </w:rPr>
        <w:t xml:space="preserve">he document </w:t>
      </w:r>
      <w:r w:rsidRPr="0005731C">
        <w:rPr>
          <w:rFonts w:ascii="Book Antiqua" w:hAnsi="Book Antiqua"/>
          <w:sz w:val="21"/>
        </w:rPr>
        <w:t>are</w:t>
      </w:r>
      <w:r w:rsidR="00284052" w:rsidRPr="0005731C">
        <w:rPr>
          <w:rFonts w:ascii="Book Antiqua" w:hAnsi="Book Antiqua"/>
          <w:sz w:val="21"/>
        </w:rPr>
        <w:t xml:space="preserve"> concerned with transportation noise only, and does not consider noise arising from industrial, commercial or entertainment noise sources.  However, it does consider the noise that may arise from any mechanical ventilation systems that may be required.</w:t>
      </w:r>
    </w:p>
    <w:p w:rsidR="00284052" w:rsidRPr="0005731C" w:rsidRDefault="00284052" w:rsidP="00284052">
      <w:pPr>
        <w:spacing w:after="240"/>
        <w:ind w:right="-187"/>
        <w:rPr>
          <w:rFonts w:ascii="Book Antiqua" w:hAnsi="Book Antiqua"/>
          <w:sz w:val="21"/>
        </w:rPr>
      </w:pPr>
      <w:r w:rsidRPr="0005731C">
        <w:rPr>
          <w:rFonts w:ascii="Book Antiqua" w:hAnsi="Book Antiqua"/>
          <w:sz w:val="21"/>
        </w:rPr>
        <w:t>The aims of the Guide are set out in paragraph 1.14, which states:</w:t>
      </w:r>
    </w:p>
    <w:p w:rsidR="00284052" w:rsidRPr="0005731C" w:rsidRDefault="00284052" w:rsidP="00284052">
      <w:pPr>
        <w:spacing w:after="240"/>
        <w:ind w:left="720" w:right="-187"/>
        <w:rPr>
          <w:rFonts w:ascii="Book Antiqua" w:hAnsi="Book Antiqua"/>
          <w:sz w:val="21"/>
        </w:rPr>
      </w:pPr>
      <w:r w:rsidRPr="0005731C">
        <w:rPr>
          <w:rFonts w:ascii="Book Antiqua" w:hAnsi="Book Antiqua"/>
          <w:sz w:val="21"/>
        </w:rPr>
        <w:t>“1.14</w:t>
      </w:r>
      <w:r w:rsidRPr="0005731C">
        <w:rPr>
          <w:rFonts w:ascii="Book Antiqua" w:hAnsi="Book Antiqua"/>
          <w:sz w:val="21"/>
        </w:rPr>
        <w:tab/>
      </w:r>
      <w:r w:rsidR="00AB38E4" w:rsidRPr="0005731C">
        <w:rPr>
          <w:rFonts w:ascii="Book Antiqua" w:hAnsi="Book Antiqua"/>
          <w:sz w:val="21"/>
        </w:rPr>
        <w:t>The AVO Guide seeks to</w:t>
      </w:r>
      <w:r w:rsidRPr="0005731C">
        <w:rPr>
          <w:rFonts w:ascii="Book Antiqua" w:hAnsi="Book Antiqua"/>
          <w:sz w:val="21"/>
        </w:rPr>
        <w:t>:</w:t>
      </w:r>
    </w:p>
    <w:p w:rsidR="00284052" w:rsidRPr="0005731C" w:rsidRDefault="00AB38E4" w:rsidP="00AB38E4">
      <w:pPr>
        <w:pStyle w:val="ListParagraph"/>
        <w:numPr>
          <w:ilvl w:val="0"/>
          <w:numId w:val="14"/>
        </w:numPr>
        <w:spacing w:after="240"/>
        <w:ind w:right="-187"/>
        <w:rPr>
          <w:rFonts w:ascii="Book Antiqua" w:hAnsi="Book Antiqua"/>
          <w:sz w:val="21"/>
        </w:rPr>
      </w:pPr>
      <w:r w:rsidRPr="0005731C">
        <w:rPr>
          <w:rFonts w:ascii="Book Antiqua" w:hAnsi="Book Antiqua"/>
          <w:sz w:val="21"/>
        </w:rPr>
        <w:t>encourage an assessment of noise that recognises the interdependence between the acoustics, ventilation and overheating designs</w:t>
      </w:r>
      <w:r w:rsidR="00284052" w:rsidRPr="0005731C">
        <w:rPr>
          <w:rFonts w:ascii="Book Antiqua" w:hAnsi="Book Antiqua"/>
          <w:sz w:val="21"/>
        </w:rPr>
        <w:t>;</w:t>
      </w:r>
    </w:p>
    <w:p w:rsidR="00284052" w:rsidRPr="00AB38E4" w:rsidRDefault="00AB38E4" w:rsidP="00AB38E4">
      <w:pPr>
        <w:pStyle w:val="ListParagraph"/>
        <w:numPr>
          <w:ilvl w:val="0"/>
          <w:numId w:val="14"/>
        </w:numPr>
        <w:spacing w:after="240"/>
        <w:ind w:right="-187"/>
        <w:rPr>
          <w:rFonts w:ascii="Book Antiqua" w:hAnsi="Book Antiqua"/>
          <w:sz w:val="21"/>
        </w:rPr>
      </w:pPr>
      <w:r w:rsidRPr="00AB38E4">
        <w:rPr>
          <w:rFonts w:ascii="Book Antiqua" w:hAnsi="Book Antiqua"/>
          <w:sz w:val="21"/>
        </w:rPr>
        <w:t>provide a means of assessment to satisfy the need to consider acoustics, ventilation and overheating at the planning stage</w:t>
      </w:r>
      <w:r w:rsidR="00284052" w:rsidRPr="00AB38E4">
        <w:rPr>
          <w:rFonts w:ascii="Book Antiqua" w:hAnsi="Book Antiqua"/>
          <w:sz w:val="21"/>
        </w:rPr>
        <w:t>;</w:t>
      </w:r>
    </w:p>
    <w:p w:rsidR="00284052" w:rsidRPr="00AB38E4" w:rsidRDefault="00AB38E4" w:rsidP="00AB38E4">
      <w:pPr>
        <w:pStyle w:val="ListParagraph"/>
        <w:numPr>
          <w:ilvl w:val="0"/>
          <w:numId w:val="14"/>
        </w:numPr>
        <w:spacing w:after="240"/>
        <w:ind w:right="-187"/>
        <w:rPr>
          <w:rFonts w:ascii="Book Antiqua" w:hAnsi="Book Antiqua"/>
          <w:sz w:val="21"/>
        </w:rPr>
      </w:pPr>
      <w:proofErr w:type="gramStart"/>
      <w:r w:rsidRPr="00AB38E4">
        <w:rPr>
          <w:rFonts w:ascii="Book Antiqua" w:hAnsi="Book Antiqua"/>
          <w:sz w:val="21"/>
        </w:rPr>
        <w:t>assist</w:t>
      </w:r>
      <w:proofErr w:type="gramEnd"/>
      <w:r w:rsidRPr="00AB38E4">
        <w:rPr>
          <w:rFonts w:ascii="Book Antiqua" w:hAnsi="Book Antiqua"/>
          <w:sz w:val="21"/>
        </w:rPr>
        <w:t xml:space="preserve"> in educating clients, environmental health/planning officers and other stakeholders of the interdependence of design for acoustics, ventilation and overheating</w:t>
      </w:r>
      <w:r w:rsidR="00284052" w:rsidRPr="00AB38E4">
        <w:rPr>
          <w:rFonts w:ascii="Book Antiqua" w:hAnsi="Book Antiqua"/>
          <w:sz w:val="21"/>
        </w:rPr>
        <w:t>.”</w:t>
      </w:r>
    </w:p>
    <w:p w:rsidR="00284052" w:rsidRPr="00220FAE" w:rsidRDefault="00284052" w:rsidP="00284052">
      <w:pPr>
        <w:spacing w:after="240"/>
        <w:ind w:right="-187"/>
        <w:rPr>
          <w:rFonts w:ascii="Book Antiqua" w:hAnsi="Book Antiqua"/>
          <w:sz w:val="21"/>
        </w:rPr>
      </w:pPr>
      <w:r w:rsidRPr="00220FAE">
        <w:rPr>
          <w:rFonts w:ascii="Book Antiqua" w:hAnsi="Book Antiqua"/>
          <w:sz w:val="21"/>
        </w:rPr>
        <w:t>In respect of the concept of Good Acoustic Design as promo</w:t>
      </w:r>
      <w:r w:rsidR="00220FAE" w:rsidRPr="00220FAE">
        <w:rPr>
          <w:rFonts w:ascii="Book Antiqua" w:hAnsi="Book Antiqua"/>
          <w:sz w:val="21"/>
        </w:rPr>
        <w:t xml:space="preserve">ted by the </w:t>
      </w:r>
      <w:proofErr w:type="spellStart"/>
      <w:r w:rsidR="00220FAE" w:rsidRPr="00220FAE">
        <w:rPr>
          <w:rFonts w:ascii="Book Antiqua" w:hAnsi="Book Antiqua"/>
          <w:sz w:val="21"/>
        </w:rPr>
        <w:t>ProPG</w:t>
      </w:r>
      <w:proofErr w:type="spellEnd"/>
      <w:r w:rsidR="00220FAE" w:rsidRPr="00220FAE">
        <w:rPr>
          <w:rFonts w:ascii="Book Antiqua" w:hAnsi="Book Antiqua"/>
          <w:sz w:val="21"/>
        </w:rPr>
        <w:t xml:space="preserve">, paragraph 1.19 of the </w:t>
      </w:r>
      <w:r w:rsidRPr="00220FAE">
        <w:rPr>
          <w:rFonts w:ascii="Book Antiqua" w:hAnsi="Book Antiqua"/>
          <w:sz w:val="21"/>
        </w:rPr>
        <w:t>AVO Guide states:</w:t>
      </w:r>
    </w:p>
    <w:p w:rsidR="00284052" w:rsidRPr="00220FAE" w:rsidRDefault="00220FAE" w:rsidP="00220FAE">
      <w:pPr>
        <w:spacing w:after="240"/>
        <w:ind w:left="720" w:right="-187"/>
        <w:rPr>
          <w:rFonts w:ascii="Book Antiqua" w:hAnsi="Book Antiqua"/>
          <w:sz w:val="21"/>
        </w:rPr>
      </w:pPr>
      <w:r w:rsidRPr="00220FAE">
        <w:rPr>
          <w:rFonts w:ascii="Book Antiqua" w:hAnsi="Book Antiqua"/>
          <w:sz w:val="21"/>
        </w:rPr>
        <w:t>“1.19</w:t>
      </w:r>
      <w:r w:rsidR="00284052" w:rsidRPr="00220FAE">
        <w:rPr>
          <w:rFonts w:ascii="Book Antiqua" w:hAnsi="Book Antiqua"/>
          <w:sz w:val="21"/>
        </w:rPr>
        <w:tab/>
        <w:t xml:space="preserve">The </w:t>
      </w:r>
      <w:proofErr w:type="spellStart"/>
      <w:r w:rsidR="00284052" w:rsidRPr="00220FAE">
        <w:rPr>
          <w:rFonts w:ascii="Book Antiqua" w:hAnsi="Book Antiqua"/>
          <w:sz w:val="21"/>
        </w:rPr>
        <w:t>ProPG</w:t>
      </w:r>
      <w:proofErr w:type="spellEnd"/>
      <w:r w:rsidR="00284052" w:rsidRPr="00220FAE">
        <w:rPr>
          <w:rFonts w:ascii="Book Antiqua" w:hAnsi="Book Antiqua"/>
          <w:sz w:val="21"/>
        </w:rPr>
        <w:t xml:space="preserve"> emphasises the importance and principles of good acoustic design; the AVO Guide is intended to contribute to the practice of good acoustic design.  It is noted that the over-arching aspiration of good acoustic design is that residents may open windows without any adverse acoustic impact (</w:t>
      </w:r>
      <w:proofErr w:type="spellStart"/>
      <w:r w:rsidR="00284052" w:rsidRPr="00220FAE">
        <w:rPr>
          <w:rFonts w:ascii="Book Antiqua" w:hAnsi="Book Antiqua"/>
          <w:sz w:val="21"/>
        </w:rPr>
        <w:t>ProPG</w:t>
      </w:r>
      <w:proofErr w:type="spellEnd"/>
      <w:r w:rsidR="00284052" w:rsidRPr="00220FAE">
        <w:rPr>
          <w:rFonts w:ascii="Book Antiqua" w:hAnsi="Book Antiqua"/>
          <w:sz w:val="21"/>
        </w:rPr>
        <w:t xml:space="preserve"> para. 2.33); where a site layout achieves these conditions, the portion of the AVO Guide relating to environmental noise </w:t>
      </w:r>
      <w:r>
        <w:rPr>
          <w:rFonts w:ascii="Book Antiqua" w:hAnsi="Book Antiqua"/>
          <w:sz w:val="21"/>
        </w:rPr>
        <w:t xml:space="preserve">is not </w:t>
      </w:r>
      <w:r w:rsidRPr="00220FAE">
        <w:rPr>
          <w:rFonts w:ascii="Book Antiqua" w:hAnsi="Book Antiqua"/>
          <w:sz w:val="21"/>
        </w:rPr>
        <w:t>applicable</w:t>
      </w:r>
      <w:r w:rsidR="00284052" w:rsidRPr="00220FAE">
        <w:rPr>
          <w:rFonts w:ascii="Book Antiqua" w:hAnsi="Book Antiqua"/>
          <w:sz w:val="21"/>
        </w:rPr>
        <w:t>.”</w:t>
      </w:r>
    </w:p>
    <w:p w:rsidR="00284052" w:rsidRPr="007E703C" w:rsidRDefault="00284052" w:rsidP="00284052">
      <w:pPr>
        <w:spacing w:after="240"/>
        <w:ind w:right="-187"/>
        <w:rPr>
          <w:rFonts w:ascii="Book Antiqua" w:hAnsi="Book Antiqua"/>
          <w:sz w:val="21"/>
        </w:rPr>
      </w:pPr>
      <w:r w:rsidRPr="007E703C">
        <w:rPr>
          <w:rFonts w:ascii="Book Antiqua" w:hAnsi="Book Antiqua"/>
          <w:sz w:val="21"/>
        </w:rPr>
        <w:t>The Guide then goes on to state:</w:t>
      </w:r>
    </w:p>
    <w:p w:rsidR="00284052" w:rsidRPr="007E703C" w:rsidRDefault="00284052" w:rsidP="00284052">
      <w:pPr>
        <w:spacing w:after="240"/>
        <w:ind w:left="720" w:right="-187"/>
        <w:rPr>
          <w:rFonts w:ascii="Book Antiqua" w:hAnsi="Book Antiqua"/>
          <w:sz w:val="21"/>
        </w:rPr>
      </w:pPr>
      <w:r w:rsidRPr="007E703C">
        <w:rPr>
          <w:rFonts w:ascii="Book Antiqua" w:hAnsi="Book Antiqua"/>
          <w:sz w:val="21"/>
        </w:rPr>
        <w:t>“1.</w:t>
      </w:r>
      <w:r w:rsidR="007E703C" w:rsidRPr="007E703C">
        <w:rPr>
          <w:rFonts w:ascii="Book Antiqua" w:hAnsi="Book Antiqua"/>
          <w:sz w:val="21"/>
        </w:rPr>
        <w:t>20</w:t>
      </w:r>
      <w:r w:rsidRPr="007E703C">
        <w:rPr>
          <w:rFonts w:ascii="Book Antiqua" w:hAnsi="Book Antiqua"/>
          <w:sz w:val="21"/>
        </w:rPr>
        <w:tab/>
        <w:t xml:space="preserve">In particular, the paragraphs 2.34 – 2.36 of the </w:t>
      </w:r>
      <w:proofErr w:type="spellStart"/>
      <w:r w:rsidRPr="007E703C">
        <w:rPr>
          <w:rFonts w:ascii="Book Antiqua" w:hAnsi="Book Antiqua"/>
          <w:sz w:val="21"/>
        </w:rPr>
        <w:t>ProPG</w:t>
      </w:r>
      <w:proofErr w:type="spellEnd"/>
      <w:r w:rsidRPr="007E703C">
        <w:rPr>
          <w:rFonts w:ascii="Book Antiqua" w:hAnsi="Book Antiqua"/>
          <w:sz w:val="21"/>
        </w:rPr>
        <w:t xml:space="preserve"> indicate that an integrated design approach must be taken to acoustic, ventilation and thermal comfort conditions:</w:t>
      </w:r>
    </w:p>
    <w:p w:rsidR="00284052" w:rsidRPr="004C2190" w:rsidRDefault="00284052" w:rsidP="00FD7A86">
      <w:pPr>
        <w:pStyle w:val="ListParagraph"/>
        <w:numPr>
          <w:ilvl w:val="0"/>
          <w:numId w:val="15"/>
        </w:numPr>
        <w:spacing w:after="240"/>
        <w:ind w:left="1434" w:right="-187" w:hanging="357"/>
        <w:contextualSpacing w:val="0"/>
        <w:rPr>
          <w:rFonts w:ascii="Book Antiqua" w:hAnsi="Book Antiqua"/>
          <w:sz w:val="21"/>
        </w:rPr>
      </w:pPr>
      <w:r w:rsidRPr="004C2190">
        <w:rPr>
          <w:rFonts w:ascii="Book Antiqua" w:hAnsi="Book Antiqua"/>
          <w:sz w:val="21"/>
        </w:rPr>
        <w:t>Para 2.34: ‘design the accommodation so that it provides good standards of acoustics, ventilation and thermal comfort’</w:t>
      </w:r>
    </w:p>
    <w:p w:rsidR="00284052" w:rsidRPr="004C2190" w:rsidRDefault="00284052" w:rsidP="00FD7A86">
      <w:pPr>
        <w:pStyle w:val="ListParagraph"/>
        <w:numPr>
          <w:ilvl w:val="0"/>
          <w:numId w:val="15"/>
        </w:numPr>
        <w:spacing w:after="240"/>
        <w:ind w:left="1434" w:right="-187" w:hanging="357"/>
        <w:contextualSpacing w:val="0"/>
        <w:rPr>
          <w:rFonts w:ascii="Book Antiqua" w:hAnsi="Book Antiqua"/>
          <w:sz w:val="21"/>
        </w:rPr>
      </w:pPr>
      <w:r w:rsidRPr="004C2190">
        <w:rPr>
          <w:rFonts w:ascii="Book Antiqua" w:hAnsi="Book Antiqua"/>
          <w:sz w:val="21"/>
        </w:rPr>
        <w:t xml:space="preserve">Para 2.36: ‘[where a] scheme is reliant on open windows to mitigate overheating, it is also necessary to consider the potential noise impact during the overheating condition. </w:t>
      </w:r>
      <w:r w:rsidR="004C2190" w:rsidRPr="004C2190">
        <w:rPr>
          <w:rFonts w:ascii="Book Antiqua" w:hAnsi="Book Antiqua"/>
          <w:sz w:val="21"/>
        </w:rPr>
        <w:t xml:space="preserve"> </w:t>
      </w:r>
      <w:r w:rsidRPr="004C2190">
        <w:rPr>
          <w:rFonts w:ascii="Book Antiqua" w:hAnsi="Book Antiqua"/>
          <w:sz w:val="21"/>
        </w:rPr>
        <w:t>In this case a more detailed assessment of the potential impact on occupants should be provided in the ADS’.”</w:t>
      </w:r>
    </w:p>
    <w:p w:rsidR="00284052" w:rsidRPr="004C2190" w:rsidRDefault="00284052" w:rsidP="00284052">
      <w:pPr>
        <w:spacing w:after="240"/>
        <w:ind w:right="-187"/>
        <w:rPr>
          <w:rFonts w:ascii="Book Antiqua" w:hAnsi="Book Antiqua"/>
          <w:sz w:val="21"/>
        </w:rPr>
      </w:pPr>
      <w:proofErr w:type="gramStart"/>
      <w:r w:rsidRPr="004C2190">
        <w:rPr>
          <w:rFonts w:ascii="Book Antiqua" w:hAnsi="Book Antiqua"/>
          <w:sz w:val="21"/>
        </w:rPr>
        <w:t>and</w:t>
      </w:r>
      <w:proofErr w:type="gramEnd"/>
      <w:r w:rsidRPr="004C2190">
        <w:rPr>
          <w:rFonts w:ascii="Book Antiqua" w:hAnsi="Book Antiqua"/>
          <w:sz w:val="21"/>
        </w:rPr>
        <w:t>:</w:t>
      </w:r>
    </w:p>
    <w:p w:rsidR="00284052" w:rsidRPr="004C2190" w:rsidRDefault="00284052" w:rsidP="00284052">
      <w:pPr>
        <w:spacing w:after="240"/>
        <w:ind w:left="720" w:right="-187"/>
        <w:rPr>
          <w:rFonts w:ascii="Book Antiqua" w:hAnsi="Book Antiqua"/>
          <w:sz w:val="21"/>
        </w:rPr>
      </w:pPr>
      <w:r w:rsidRPr="004C2190">
        <w:rPr>
          <w:rFonts w:ascii="Book Antiqua" w:hAnsi="Book Antiqua"/>
          <w:sz w:val="21"/>
        </w:rPr>
        <w:t>“1.20</w:t>
      </w:r>
      <w:r w:rsidRPr="004C2190">
        <w:rPr>
          <w:rFonts w:ascii="Book Antiqua" w:hAnsi="Book Antiqua"/>
          <w:sz w:val="21"/>
        </w:rPr>
        <w:tab/>
        <w:t>In addition, Para 2.38 says: ‘Where mechanical services are used as part of the ventilation or thermal comfort strategy for the scheme, the impact of noise generated by these systems on occupants should also be assessed’.”</w:t>
      </w:r>
    </w:p>
    <w:p w:rsidR="0022582B" w:rsidRDefault="00284052" w:rsidP="00284052">
      <w:pPr>
        <w:spacing w:after="240"/>
        <w:ind w:right="-187"/>
        <w:rPr>
          <w:rFonts w:ascii="Book Antiqua" w:hAnsi="Book Antiqua"/>
          <w:sz w:val="21"/>
        </w:rPr>
      </w:pPr>
      <w:r w:rsidRPr="004C2190">
        <w:rPr>
          <w:rFonts w:ascii="Book Antiqua" w:hAnsi="Book Antiqua"/>
          <w:sz w:val="21"/>
        </w:rPr>
        <w:lastRenderedPageBreak/>
        <w:t xml:space="preserve">Chapter 2 </w:t>
      </w:r>
      <w:r w:rsidR="004C2190">
        <w:rPr>
          <w:rFonts w:ascii="Book Antiqua" w:hAnsi="Book Antiqua"/>
          <w:sz w:val="21"/>
        </w:rPr>
        <w:t>of the Guide is concerned with relevant legislation and guidance relating to v</w:t>
      </w:r>
      <w:r w:rsidRPr="004C2190">
        <w:rPr>
          <w:rFonts w:ascii="Book Antiqua" w:hAnsi="Book Antiqua"/>
          <w:sz w:val="21"/>
        </w:rPr>
        <w:t>entilati</w:t>
      </w:r>
      <w:r w:rsidR="004C2190">
        <w:rPr>
          <w:rFonts w:ascii="Book Antiqua" w:hAnsi="Book Antiqua"/>
          <w:sz w:val="21"/>
        </w:rPr>
        <w:t>on, overheating and a</w:t>
      </w:r>
      <w:r w:rsidRPr="004C2190">
        <w:rPr>
          <w:rFonts w:ascii="Book Antiqua" w:hAnsi="Book Antiqua"/>
          <w:sz w:val="21"/>
        </w:rPr>
        <w:t xml:space="preserve">coustics.  Paragraph 2.4 of this chapter </w:t>
      </w:r>
      <w:r w:rsidR="0022582B">
        <w:rPr>
          <w:rFonts w:ascii="Book Antiqua" w:hAnsi="Book Antiqua"/>
          <w:sz w:val="21"/>
        </w:rPr>
        <w:t>acknowledges that Approved Document F of the Building Regulations (ADF) states that:</w:t>
      </w:r>
    </w:p>
    <w:p w:rsidR="0022582B" w:rsidRPr="00976924" w:rsidRDefault="0022582B" w:rsidP="0022582B">
      <w:pPr>
        <w:spacing w:after="240"/>
        <w:ind w:left="720" w:right="-187"/>
        <w:rPr>
          <w:rFonts w:ascii="Book Antiqua" w:hAnsi="Book Antiqua"/>
          <w:sz w:val="21"/>
        </w:rPr>
      </w:pPr>
      <w:r>
        <w:rPr>
          <w:rFonts w:ascii="Book Antiqua" w:hAnsi="Book Antiqua"/>
          <w:sz w:val="21"/>
        </w:rPr>
        <w:t xml:space="preserve">“Ventilation may also provide a means to control thermal comfort but this is not controlled under the Building </w:t>
      </w:r>
      <w:r w:rsidRPr="00976924">
        <w:rPr>
          <w:rFonts w:ascii="Book Antiqua" w:hAnsi="Book Antiqua"/>
          <w:sz w:val="21"/>
        </w:rPr>
        <w:t>Regulations”.</w:t>
      </w:r>
    </w:p>
    <w:p w:rsidR="00284052" w:rsidRPr="00976924" w:rsidRDefault="0022582B" w:rsidP="00284052">
      <w:pPr>
        <w:spacing w:after="240"/>
        <w:ind w:right="-187"/>
        <w:rPr>
          <w:rFonts w:ascii="Book Antiqua" w:hAnsi="Book Antiqua"/>
          <w:sz w:val="21"/>
        </w:rPr>
      </w:pPr>
      <w:r w:rsidRPr="00976924">
        <w:rPr>
          <w:rFonts w:ascii="Book Antiqua" w:hAnsi="Book Antiqua"/>
          <w:sz w:val="21"/>
        </w:rPr>
        <w:t>Paragraph 2.4 then goes on to state</w:t>
      </w:r>
      <w:r w:rsidR="00284052" w:rsidRPr="00976924">
        <w:rPr>
          <w:rFonts w:ascii="Book Antiqua" w:hAnsi="Book Antiqua"/>
          <w:sz w:val="21"/>
        </w:rPr>
        <w:t>:</w:t>
      </w:r>
    </w:p>
    <w:p w:rsidR="00284052" w:rsidRPr="00976924" w:rsidRDefault="0022582B" w:rsidP="00284052">
      <w:pPr>
        <w:spacing w:after="240"/>
        <w:ind w:left="720" w:right="-187"/>
        <w:rPr>
          <w:rFonts w:ascii="Book Antiqua" w:hAnsi="Book Antiqua"/>
          <w:sz w:val="21"/>
        </w:rPr>
      </w:pPr>
      <w:r w:rsidRPr="00976924">
        <w:rPr>
          <w:rFonts w:ascii="Book Antiqua" w:hAnsi="Book Antiqua"/>
          <w:sz w:val="21"/>
        </w:rPr>
        <w:t>“However, i</w:t>
      </w:r>
      <w:r w:rsidR="00284052" w:rsidRPr="00976924">
        <w:rPr>
          <w:rFonts w:ascii="Book Antiqua" w:hAnsi="Book Antiqua"/>
          <w:sz w:val="21"/>
        </w:rPr>
        <w:t>t is important to differentiate between the need to provide ‘purge ventilation’ as r</w:t>
      </w:r>
      <w:r w:rsidRPr="00976924">
        <w:rPr>
          <w:rFonts w:ascii="Book Antiqua" w:hAnsi="Book Antiqua"/>
          <w:sz w:val="21"/>
        </w:rPr>
        <w:t>equired occasionally under AD</w:t>
      </w:r>
      <w:r w:rsidR="00284052" w:rsidRPr="00976924">
        <w:rPr>
          <w:rFonts w:ascii="Book Antiqua" w:hAnsi="Book Antiqua"/>
          <w:sz w:val="21"/>
        </w:rPr>
        <w:t>F</w:t>
      </w:r>
      <w:r w:rsidRPr="00976924">
        <w:rPr>
          <w:rFonts w:ascii="Book Antiqua" w:hAnsi="Book Antiqua"/>
          <w:sz w:val="21"/>
        </w:rPr>
        <w:t xml:space="preserve"> (</w:t>
      </w:r>
      <w:proofErr w:type="spellStart"/>
      <w:r w:rsidRPr="00976924">
        <w:rPr>
          <w:rFonts w:ascii="Book Antiqua" w:hAnsi="Book Antiqua"/>
          <w:sz w:val="21"/>
        </w:rPr>
        <w:t>ie</w:t>
      </w:r>
      <w:proofErr w:type="spellEnd"/>
      <w:r w:rsidRPr="00976924">
        <w:rPr>
          <w:rFonts w:ascii="Book Antiqua" w:hAnsi="Book Antiqua"/>
          <w:sz w:val="21"/>
        </w:rPr>
        <w:t xml:space="preserve"> to remove smoke from burnt food etc);</w:t>
      </w:r>
      <w:r w:rsidR="00976924" w:rsidRPr="00976924">
        <w:rPr>
          <w:rFonts w:ascii="Book Antiqua" w:hAnsi="Book Antiqua"/>
          <w:sz w:val="21"/>
        </w:rPr>
        <w:t xml:space="preserve"> </w:t>
      </w:r>
      <w:r w:rsidR="00284052" w:rsidRPr="00976924">
        <w:rPr>
          <w:rFonts w:ascii="Book Antiqua" w:hAnsi="Book Antiqua"/>
          <w:sz w:val="21"/>
        </w:rPr>
        <w:t xml:space="preserve">against the need to provide ventilation for the ‘overheating condition’ which </w:t>
      </w:r>
      <w:r w:rsidR="00976924" w:rsidRPr="00976924">
        <w:rPr>
          <w:rFonts w:ascii="Book Antiqua" w:hAnsi="Book Antiqua"/>
          <w:sz w:val="21"/>
        </w:rPr>
        <w:t>is not covered by the Building Regulations</w:t>
      </w:r>
      <w:r w:rsidR="00284052" w:rsidRPr="00976924">
        <w:rPr>
          <w:rFonts w:ascii="Book Antiqua" w:hAnsi="Book Antiqua"/>
          <w:sz w:val="21"/>
        </w:rPr>
        <w:t>.”</w:t>
      </w:r>
    </w:p>
    <w:p w:rsidR="00976924" w:rsidRDefault="00976924" w:rsidP="00284052">
      <w:pPr>
        <w:spacing w:after="240"/>
        <w:ind w:right="-187"/>
        <w:rPr>
          <w:rFonts w:ascii="Book Antiqua" w:hAnsi="Book Antiqua"/>
          <w:sz w:val="21"/>
        </w:rPr>
      </w:pPr>
      <w:r w:rsidRPr="00976924">
        <w:rPr>
          <w:rFonts w:ascii="Book Antiqua" w:hAnsi="Book Antiqua"/>
          <w:sz w:val="21"/>
        </w:rPr>
        <w:t>The</w:t>
      </w:r>
      <w:r>
        <w:rPr>
          <w:rFonts w:ascii="Book Antiqua" w:hAnsi="Book Antiqua"/>
          <w:sz w:val="21"/>
        </w:rPr>
        <w:t xml:space="preserve"> four template ventilation systems that comply with the ventilation requirements for new dwellings that are described in ADF are summarised in Table 2-2 of the AVO Guide.</w:t>
      </w:r>
    </w:p>
    <w:p w:rsidR="00941AD0" w:rsidRDefault="00941AD0" w:rsidP="00284052">
      <w:pPr>
        <w:spacing w:after="240"/>
        <w:ind w:right="-187"/>
        <w:rPr>
          <w:rFonts w:ascii="Book Antiqua" w:hAnsi="Book Antiqua"/>
          <w:sz w:val="21"/>
        </w:rPr>
      </w:pPr>
      <w:r>
        <w:rPr>
          <w:rFonts w:ascii="Book Antiqua" w:hAnsi="Book Antiqua"/>
          <w:sz w:val="21"/>
        </w:rPr>
        <w:t>Chapter 2 of the guide also states that overheating is taken to mean:</w:t>
      </w:r>
    </w:p>
    <w:p w:rsidR="00941AD0" w:rsidRPr="003C2E68" w:rsidRDefault="00941AD0" w:rsidP="00941AD0">
      <w:pPr>
        <w:spacing w:after="240"/>
        <w:ind w:left="720" w:right="-187"/>
        <w:rPr>
          <w:rFonts w:ascii="Book Antiqua" w:hAnsi="Book Antiqua"/>
          <w:sz w:val="21"/>
        </w:rPr>
      </w:pPr>
      <w:r>
        <w:rPr>
          <w:rFonts w:ascii="Book Antiqua" w:hAnsi="Book Antiqua"/>
          <w:sz w:val="21"/>
        </w:rPr>
        <w:t>“</w:t>
      </w:r>
      <w:proofErr w:type="gramStart"/>
      <w:r w:rsidRPr="00941AD0">
        <w:rPr>
          <w:rFonts w:ascii="Book Antiqua" w:hAnsi="Book Antiqua"/>
          <w:sz w:val="21"/>
        </w:rPr>
        <w:t>the</w:t>
      </w:r>
      <w:proofErr w:type="gramEnd"/>
      <w:r w:rsidRPr="00941AD0">
        <w:rPr>
          <w:rFonts w:ascii="Book Antiqua" w:hAnsi="Book Antiqua"/>
          <w:sz w:val="21"/>
        </w:rPr>
        <w:t xml:space="preserve"> phenomenon of excessive or prolonged high temperatures in homes, resulting from internal or external heat</w:t>
      </w:r>
      <w:r>
        <w:rPr>
          <w:rFonts w:ascii="Book Antiqua" w:hAnsi="Book Antiqua"/>
          <w:sz w:val="21"/>
        </w:rPr>
        <w:t xml:space="preserve"> </w:t>
      </w:r>
      <w:r w:rsidRPr="00941AD0">
        <w:rPr>
          <w:rFonts w:ascii="Book Antiqua" w:hAnsi="Book Antiqua"/>
          <w:sz w:val="21"/>
        </w:rPr>
        <w:t>gains, whi</w:t>
      </w:r>
      <w:r w:rsidRPr="003C2E68">
        <w:rPr>
          <w:rFonts w:ascii="Book Antiqua" w:hAnsi="Book Antiqua"/>
          <w:sz w:val="21"/>
        </w:rPr>
        <w:t>ch may have adverse effects on the comfort, health or productivity of the occupants.”</w:t>
      </w:r>
    </w:p>
    <w:p w:rsidR="00F76BDE" w:rsidRPr="003C2E68" w:rsidRDefault="003C7184" w:rsidP="003C7184">
      <w:pPr>
        <w:spacing w:after="240"/>
        <w:ind w:right="-187"/>
        <w:rPr>
          <w:rFonts w:ascii="Book Antiqua" w:hAnsi="Book Antiqua"/>
          <w:sz w:val="21"/>
        </w:rPr>
      </w:pPr>
      <w:r w:rsidRPr="003C2E68">
        <w:rPr>
          <w:rFonts w:ascii="Book Antiqua" w:hAnsi="Book Antiqua"/>
          <w:sz w:val="21"/>
        </w:rPr>
        <w:t>Paragraph 2.15 makes reference to the Overheating Risk – Early Stage Tool included in the document ‘Overheating in New Homes’ published by the Good Homes Alliance (GHA), confirming that this may be used to evaluate overheating risk at the stage that the acoustic assessment is carried out.</w:t>
      </w:r>
    </w:p>
    <w:p w:rsidR="00941AD0" w:rsidRPr="003C2E68" w:rsidRDefault="004A3C29" w:rsidP="00284052">
      <w:pPr>
        <w:spacing w:after="240"/>
        <w:ind w:right="-187"/>
        <w:rPr>
          <w:rFonts w:ascii="Book Antiqua" w:hAnsi="Book Antiqua"/>
          <w:sz w:val="21"/>
        </w:rPr>
      </w:pPr>
      <w:r w:rsidRPr="003C2E68">
        <w:rPr>
          <w:rFonts w:ascii="Book Antiqua" w:hAnsi="Book Antiqua"/>
          <w:sz w:val="21"/>
        </w:rPr>
        <w:t>In considering cooling strategies that may be applied to dwelling C</w:t>
      </w:r>
      <w:r w:rsidR="00F76BDE" w:rsidRPr="003C2E68">
        <w:rPr>
          <w:rFonts w:ascii="Book Antiqua" w:hAnsi="Book Antiqua"/>
          <w:sz w:val="21"/>
        </w:rPr>
        <w:t>hapter 2 of the Guide</w:t>
      </w:r>
      <w:r w:rsidRPr="003C2E68">
        <w:rPr>
          <w:rFonts w:ascii="Book Antiqua" w:hAnsi="Book Antiqua"/>
          <w:sz w:val="21"/>
        </w:rPr>
        <w:t xml:space="preserve"> state</w:t>
      </w:r>
      <w:r w:rsidR="00F76BDE" w:rsidRPr="003C2E68">
        <w:rPr>
          <w:rFonts w:ascii="Book Antiqua" w:hAnsi="Book Antiqua"/>
          <w:sz w:val="21"/>
        </w:rPr>
        <w:t>s</w:t>
      </w:r>
      <w:r w:rsidRPr="003C2E68">
        <w:rPr>
          <w:rFonts w:ascii="Book Antiqua" w:hAnsi="Book Antiqua"/>
          <w:sz w:val="21"/>
        </w:rPr>
        <w:t>:</w:t>
      </w:r>
    </w:p>
    <w:p w:rsidR="004A3C29" w:rsidRPr="003C2E68" w:rsidRDefault="004A3C29" w:rsidP="004A3C29">
      <w:pPr>
        <w:spacing w:after="240"/>
        <w:ind w:left="720" w:right="-187"/>
        <w:rPr>
          <w:rFonts w:ascii="Book Antiqua" w:hAnsi="Book Antiqua"/>
          <w:sz w:val="21"/>
        </w:rPr>
      </w:pPr>
      <w:r w:rsidRPr="003C2E68">
        <w:rPr>
          <w:rFonts w:ascii="Book Antiqua" w:hAnsi="Book Antiqua"/>
          <w:sz w:val="21"/>
        </w:rPr>
        <w:t>“2.19</w:t>
      </w:r>
      <w:r w:rsidRPr="003C2E68">
        <w:rPr>
          <w:rFonts w:ascii="Book Antiqua" w:hAnsi="Book Antiqua"/>
          <w:sz w:val="21"/>
        </w:rPr>
        <w:tab/>
        <w:t>In accordance with sustainable design and construction principles, development proposals should, amongst other things, maximise opportunities to orientate buildings and streets to minimise summer and maximise winter solar gains; use trees and other shading; increase green areas in the envelope of a building, including its roof and environs; and maximise natural ventilation.</w:t>
      </w:r>
      <w:r w:rsidR="004A7A52" w:rsidRPr="003C2E68">
        <w:rPr>
          <w:rFonts w:ascii="Book Antiqua" w:hAnsi="Book Antiqua"/>
          <w:sz w:val="21"/>
        </w:rPr>
        <w:t xml:space="preserve"> </w:t>
      </w:r>
      <w:r w:rsidRPr="003C2E68">
        <w:rPr>
          <w:rFonts w:ascii="Book Antiqua" w:hAnsi="Book Antiqua"/>
          <w:sz w:val="21"/>
        </w:rPr>
        <w:t xml:space="preserve"> These sustainable design principles mirror good acoustic design as described in the </w:t>
      </w:r>
      <w:proofErr w:type="spellStart"/>
      <w:r w:rsidRPr="003C2E68">
        <w:rPr>
          <w:rFonts w:ascii="Book Antiqua" w:hAnsi="Book Antiqua"/>
          <w:sz w:val="21"/>
        </w:rPr>
        <w:t>ProPG</w:t>
      </w:r>
      <w:proofErr w:type="spellEnd"/>
      <w:r w:rsidRPr="003C2E68">
        <w:rPr>
          <w:rFonts w:ascii="Book Antiqua" w:hAnsi="Book Antiqua"/>
          <w:sz w:val="21"/>
        </w:rPr>
        <w:t>.</w:t>
      </w:r>
      <w:r w:rsidR="004A7A52" w:rsidRPr="003C2E68">
        <w:rPr>
          <w:rFonts w:ascii="Book Antiqua" w:hAnsi="Book Antiqua"/>
          <w:sz w:val="21"/>
        </w:rPr>
        <w:t xml:space="preserve"> </w:t>
      </w:r>
      <w:r w:rsidRPr="003C2E68">
        <w:rPr>
          <w:rFonts w:ascii="Book Antiqua" w:hAnsi="Book Antiqua"/>
          <w:sz w:val="21"/>
        </w:rPr>
        <w:t xml:space="preserve"> More information is available in paragraph A.19.</w:t>
      </w:r>
    </w:p>
    <w:p w:rsidR="004A3C29" w:rsidRPr="003C2E68" w:rsidRDefault="004A3C29" w:rsidP="004A3C29">
      <w:pPr>
        <w:spacing w:after="240"/>
        <w:ind w:left="720" w:right="-187"/>
        <w:rPr>
          <w:rFonts w:ascii="Book Antiqua" w:hAnsi="Book Antiqua"/>
          <w:sz w:val="21"/>
        </w:rPr>
      </w:pPr>
      <w:r w:rsidRPr="003C2E68">
        <w:rPr>
          <w:rFonts w:ascii="Book Antiqua" w:hAnsi="Book Antiqua"/>
          <w:sz w:val="21"/>
        </w:rPr>
        <w:t>“2.20</w:t>
      </w:r>
      <w:r w:rsidRPr="003C2E68">
        <w:rPr>
          <w:rFonts w:ascii="Book Antiqua" w:hAnsi="Book Antiqua"/>
          <w:sz w:val="21"/>
        </w:rPr>
        <w:tab/>
        <w:t>To minimise the risk of overheating in most residential buildings it is normally necessary to use some form of cooling system.  The three main methods of providing additional cooling are:</w:t>
      </w:r>
    </w:p>
    <w:p w:rsidR="00484342" w:rsidRPr="003C2E68" w:rsidRDefault="004A3C29" w:rsidP="00484342">
      <w:pPr>
        <w:pStyle w:val="ListParagraph"/>
        <w:numPr>
          <w:ilvl w:val="0"/>
          <w:numId w:val="24"/>
        </w:numPr>
        <w:spacing w:after="240"/>
        <w:ind w:right="-187"/>
        <w:rPr>
          <w:rFonts w:ascii="Book Antiqua" w:hAnsi="Book Antiqua"/>
          <w:sz w:val="21"/>
        </w:rPr>
      </w:pPr>
      <w:r w:rsidRPr="003C2E68">
        <w:rPr>
          <w:rFonts w:ascii="Book Antiqua" w:hAnsi="Book Antiqua"/>
          <w:sz w:val="21"/>
        </w:rPr>
        <w:t xml:space="preserve">Passive </w:t>
      </w:r>
      <w:proofErr w:type="spellStart"/>
      <w:r w:rsidRPr="003C2E68">
        <w:rPr>
          <w:rFonts w:ascii="Book Antiqua" w:hAnsi="Book Antiqua"/>
          <w:sz w:val="21"/>
        </w:rPr>
        <w:t>ventilative</w:t>
      </w:r>
      <w:proofErr w:type="spellEnd"/>
      <w:r w:rsidRPr="003C2E68">
        <w:rPr>
          <w:rFonts w:ascii="Book Antiqua" w:hAnsi="Book Antiqua"/>
          <w:sz w:val="21"/>
        </w:rPr>
        <w:t xml:space="preserve"> cooling – Introducing external air to a space to provide a cooling effect without the use of fans.  The most common method is to use open windows but other façade openings can also be used.</w:t>
      </w:r>
      <w:r w:rsidRPr="003C2E68">
        <w:rPr>
          <w:rFonts w:ascii="Book Antiqua" w:hAnsi="Book Antiqua"/>
          <w:sz w:val="21"/>
        </w:rPr>
        <w:br/>
        <w:t>Note that trickle vents do not enable sufficient airflow to have a significant cooling effect.</w:t>
      </w:r>
      <w:r w:rsidR="00484342" w:rsidRPr="003C2E68">
        <w:rPr>
          <w:rFonts w:ascii="Book Antiqua" w:hAnsi="Book Antiqua"/>
          <w:sz w:val="21"/>
        </w:rPr>
        <w:br/>
      </w:r>
    </w:p>
    <w:p w:rsidR="00484342" w:rsidRPr="003C2E68" w:rsidRDefault="004A3C29" w:rsidP="00484342">
      <w:pPr>
        <w:pStyle w:val="ListParagraph"/>
        <w:numPr>
          <w:ilvl w:val="0"/>
          <w:numId w:val="24"/>
        </w:numPr>
        <w:spacing w:after="240"/>
        <w:ind w:right="-187"/>
        <w:rPr>
          <w:rFonts w:ascii="Book Antiqua" w:hAnsi="Book Antiqua"/>
          <w:sz w:val="21"/>
        </w:rPr>
      </w:pPr>
      <w:r w:rsidRPr="003C2E68">
        <w:rPr>
          <w:rFonts w:ascii="Book Antiqua" w:hAnsi="Book Antiqua"/>
          <w:sz w:val="21"/>
        </w:rPr>
        <w:t xml:space="preserve">Mechanical </w:t>
      </w:r>
      <w:proofErr w:type="spellStart"/>
      <w:r w:rsidRPr="003C2E68">
        <w:rPr>
          <w:rFonts w:ascii="Book Antiqua" w:hAnsi="Book Antiqua"/>
          <w:sz w:val="21"/>
        </w:rPr>
        <w:t>ventilative</w:t>
      </w:r>
      <w:proofErr w:type="spellEnd"/>
      <w:r w:rsidRPr="003C2E68">
        <w:rPr>
          <w:rFonts w:ascii="Book Antiqua" w:hAnsi="Book Antiqua"/>
          <w:sz w:val="21"/>
        </w:rPr>
        <w:t xml:space="preserve"> cooling – Using fans to introduce external air to a space to provide a cooling effect.</w:t>
      </w:r>
      <w:r w:rsidR="00484342" w:rsidRPr="003C2E68">
        <w:rPr>
          <w:rFonts w:ascii="Book Antiqua" w:hAnsi="Book Antiqua"/>
          <w:sz w:val="21"/>
        </w:rPr>
        <w:t xml:space="preserve">  </w:t>
      </w:r>
      <w:r w:rsidRPr="003C2E68">
        <w:rPr>
          <w:rFonts w:ascii="Book Antiqua" w:hAnsi="Book Antiqua"/>
          <w:sz w:val="21"/>
        </w:rPr>
        <w:t>Due to the airflow required, this type of system often involves significant plant and duct size requirements.</w:t>
      </w:r>
      <w:r w:rsidR="00484342" w:rsidRPr="003C2E68">
        <w:rPr>
          <w:rFonts w:ascii="Book Antiqua" w:hAnsi="Book Antiqua"/>
          <w:sz w:val="21"/>
        </w:rPr>
        <w:br/>
      </w:r>
    </w:p>
    <w:p w:rsidR="004A3C29" w:rsidRPr="003C2E68" w:rsidRDefault="004A3C29" w:rsidP="00484342">
      <w:pPr>
        <w:pStyle w:val="ListParagraph"/>
        <w:numPr>
          <w:ilvl w:val="0"/>
          <w:numId w:val="24"/>
        </w:numPr>
        <w:spacing w:after="240"/>
        <w:ind w:right="-187"/>
        <w:rPr>
          <w:rFonts w:ascii="Book Antiqua" w:hAnsi="Book Antiqua"/>
          <w:sz w:val="21"/>
        </w:rPr>
      </w:pPr>
      <w:r w:rsidRPr="003C2E68">
        <w:rPr>
          <w:rFonts w:ascii="Book Antiqua" w:hAnsi="Book Antiqua"/>
          <w:sz w:val="21"/>
        </w:rPr>
        <w:t>Comfort cooling – Using a mechanical system to cool the air within a space to achieve a user-defined</w:t>
      </w:r>
      <w:r w:rsidR="00484342" w:rsidRPr="003C2E68">
        <w:rPr>
          <w:rFonts w:ascii="Book Antiqua" w:hAnsi="Book Antiqua"/>
          <w:sz w:val="21"/>
        </w:rPr>
        <w:t xml:space="preserve"> </w:t>
      </w:r>
      <w:proofErr w:type="spellStart"/>
      <w:r w:rsidRPr="003C2E68">
        <w:rPr>
          <w:rFonts w:ascii="Book Antiqua" w:hAnsi="Book Antiqua"/>
          <w:sz w:val="21"/>
        </w:rPr>
        <w:t>setpoint</w:t>
      </w:r>
      <w:proofErr w:type="spellEnd"/>
      <w:r w:rsidRPr="003C2E68">
        <w:rPr>
          <w:rFonts w:ascii="Book Antiqua" w:hAnsi="Book Antiqua"/>
          <w:sz w:val="21"/>
        </w:rPr>
        <w:t>.</w:t>
      </w:r>
      <w:r w:rsidR="00484342" w:rsidRPr="003C2E68">
        <w:rPr>
          <w:rFonts w:ascii="Book Antiqua" w:hAnsi="Book Antiqua"/>
          <w:sz w:val="21"/>
        </w:rPr>
        <w:t xml:space="preserve"> </w:t>
      </w:r>
      <w:r w:rsidRPr="003C2E68">
        <w:rPr>
          <w:rFonts w:ascii="Book Antiqua" w:hAnsi="Book Antiqua"/>
          <w:sz w:val="21"/>
        </w:rPr>
        <w:t xml:space="preserve"> This type of system will require some form of mechanical device to cool the air, such as a fan coil</w:t>
      </w:r>
      <w:r w:rsidR="00484342" w:rsidRPr="003C2E68">
        <w:rPr>
          <w:rFonts w:ascii="Book Antiqua" w:hAnsi="Book Antiqua"/>
          <w:sz w:val="21"/>
        </w:rPr>
        <w:t xml:space="preserve"> </w:t>
      </w:r>
      <w:r w:rsidRPr="003C2E68">
        <w:rPr>
          <w:rFonts w:ascii="Book Antiqua" w:hAnsi="Book Antiqua"/>
          <w:sz w:val="21"/>
        </w:rPr>
        <w:t>unit (FCU).</w:t>
      </w:r>
    </w:p>
    <w:p w:rsidR="00941AD0" w:rsidRPr="003C2E68" w:rsidRDefault="00484342" w:rsidP="00484342">
      <w:pPr>
        <w:spacing w:after="240"/>
        <w:ind w:left="720" w:right="-187"/>
        <w:rPr>
          <w:rFonts w:ascii="Book Antiqua" w:hAnsi="Book Antiqua"/>
          <w:sz w:val="21"/>
        </w:rPr>
      </w:pPr>
      <w:r w:rsidRPr="003C2E68">
        <w:rPr>
          <w:rFonts w:ascii="Book Antiqua" w:hAnsi="Book Antiqua"/>
          <w:sz w:val="21"/>
        </w:rPr>
        <w:t>“2.21</w:t>
      </w:r>
      <w:r w:rsidRPr="003C2E68">
        <w:rPr>
          <w:rFonts w:ascii="Book Antiqua" w:hAnsi="Book Antiqua"/>
          <w:sz w:val="21"/>
        </w:rPr>
        <w:tab/>
        <w:t xml:space="preserve">A more recently developed alternative to the systems above is a tempered fresh air system. These systems add a small amount of cooling to the whole dwelling ventilation supply </w:t>
      </w:r>
      <w:r w:rsidRPr="003C2E68">
        <w:rPr>
          <w:rFonts w:ascii="Book Antiqua" w:hAnsi="Book Antiqua"/>
          <w:sz w:val="21"/>
        </w:rPr>
        <w:lastRenderedPageBreak/>
        <w:t>system (e.g. to the MVHR).  This provides a reduced temperature fresh air supply which can provide some cooling to a space. Unlike comfort cooling, these systems are not designed to achieve a specific temperature in a space.”</w:t>
      </w:r>
    </w:p>
    <w:p w:rsidR="004A3C29" w:rsidRPr="003C2E68" w:rsidRDefault="0059191E" w:rsidP="00284052">
      <w:pPr>
        <w:spacing w:after="240"/>
        <w:ind w:right="-187"/>
        <w:rPr>
          <w:rFonts w:ascii="Book Antiqua" w:hAnsi="Book Antiqua"/>
          <w:sz w:val="21"/>
        </w:rPr>
      </w:pPr>
      <w:r w:rsidRPr="003C2E68">
        <w:rPr>
          <w:rFonts w:ascii="Book Antiqua" w:hAnsi="Book Antiqua"/>
          <w:sz w:val="21"/>
        </w:rPr>
        <w:t xml:space="preserve">The final part of Chapter 2 discusses </w:t>
      </w:r>
      <w:r w:rsidR="005E25E0" w:rsidRPr="003C2E68">
        <w:rPr>
          <w:rFonts w:ascii="Book Antiqua" w:hAnsi="Book Antiqua"/>
          <w:sz w:val="21"/>
        </w:rPr>
        <w:t>current planning policy, regulations and guidance documents relating to ac</w:t>
      </w:r>
      <w:r w:rsidR="006A60CD" w:rsidRPr="003C2E68">
        <w:rPr>
          <w:rFonts w:ascii="Book Antiqua" w:hAnsi="Book Antiqua"/>
          <w:sz w:val="21"/>
        </w:rPr>
        <w:t xml:space="preserve">oustics, including the NPSE, </w:t>
      </w:r>
      <w:r w:rsidR="005E25E0" w:rsidRPr="003C2E68">
        <w:rPr>
          <w:rFonts w:ascii="Book Antiqua" w:hAnsi="Book Antiqua"/>
          <w:sz w:val="21"/>
        </w:rPr>
        <w:t>BS8233</w:t>
      </w:r>
      <w:r w:rsidR="006A60CD" w:rsidRPr="003C2E68">
        <w:rPr>
          <w:rFonts w:ascii="Book Antiqua" w:hAnsi="Book Antiqua"/>
          <w:sz w:val="21"/>
        </w:rPr>
        <w:t xml:space="preserve"> and the Pro PG</w:t>
      </w:r>
      <w:r w:rsidR="005E25E0" w:rsidRPr="003C2E68">
        <w:rPr>
          <w:rFonts w:ascii="Book Antiqua" w:hAnsi="Book Antiqua"/>
          <w:sz w:val="21"/>
        </w:rPr>
        <w:t xml:space="preserve"> referred to above.</w:t>
      </w:r>
    </w:p>
    <w:p w:rsidR="00284052" w:rsidRPr="003C2E68" w:rsidRDefault="00284052" w:rsidP="00284052">
      <w:pPr>
        <w:spacing w:after="240"/>
        <w:ind w:right="-187"/>
        <w:rPr>
          <w:rFonts w:ascii="Book Antiqua" w:hAnsi="Book Antiqua"/>
          <w:sz w:val="21"/>
        </w:rPr>
      </w:pPr>
      <w:r w:rsidRPr="003C2E68">
        <w:rPr>
          <w:rFonts w:ascii="Book Antiqua" w:hAnsi="Book Antiqua"/>
          <w:sz w:val="21"/>
        </w:rPr>
        <w:t>Chapter 3 of the Guide is concerned with Internal Ambient Noise Level Guidelines, pointing out that the contribution from transportation noise sources should be considered separately from and independently of the contribution from ventilation noise.</w:t>
      </w:r>
    </w:p>
    <w:p w:rsidR="00284052" w:rsidRPr="003C2E68" w:rsidRDefault="00284052" w:rsidP="00284052">
      <w:pPr>
        <w:spacing w:after="240"/>
        <w:ind w:right="-187"/>
        <w:rPr>
          <w:rFonts w:ascii="Book Antiqua" w:hAnsi="Book Antiqua"/>
          <w:sz w:val="21"/>
        </w:rPr>
      </w:pPr>
      <w:r w:rsidRPr="003C2E68">
        <w:rPr>
          <w:rFonts w:ascii="Book Antiqua" w:hAnsi="Book Antiqua"/>
          <w:sz w:val="21"/>
        </w:rPr>
        <w:t>In this context the Guide states:</w:t>
      </w:r>
    </w:p>
    <w:p w:rsidR="00284052" w:rsidRPr="003C2E68" w:rsidRDefault="00284052" w:rsidP="001B4B79">
      <w:pPr>
        <w:spacing w:after="240"/>
        <w:ind w:left="720" w:right="-187"/>
        <w:rPr>
          <w:rFonts w:ascii="Book Antiqua" w:hAnsi="Book Antiqua"/>
          <w:sz w:val="21"/>
        </w:rPr>
      </w:pPr>
      <w:r w:rsidRPr="003C2E68">
        <w:rPr>
          <w:rFonts w:ascii="Book Antiqua" w:hAnsi="Book Antiqua"/>
          <w:sz w:val="21"/>
        </w:rPr>
        <w:t>“3.</w:t>
      </w:r>
      <w:r w:rsidR="001B4B79" w:rsidRPr="003C2E68">
        <w:rPr>
          <w:rFonts w:ascii="Book Antiqua" w:hAnsi="Book Antiqua"/>
          <w:sz w:val="21"/>
        </w:rPr>
        <w:t>4</w:t>
      </w:r>
      <w:r w:rsidRPr="003C2E68">
        <w:rPr>
          <w:rFonts w:ascii="Book Antiqua" w:hAnsi="Book Antiqua"/>
          <w:sz w:val="21"/>
        </w:rPr>
        <w:tab/>
      </w:r>
      <w:r w:rsidR="001B4B79" w:rsidRPr="003C2E68">
        <w:rPr>
          <w:rFonts w:ascii="Book Antiqua" w:hAnsi="Book Antiqua"/>
          <w:sz w:val="21"/>
        </w:rPr>
        <w:t xml:space="preserve">For both sources of noise, the guidance makes a clear distinction between provisions for fresh air to achieve whole dwelling ventilation rates (‘ADF ventilation condition’), and provisions for </w:t>
      </w:r>
      <w:proofErr w:type="spellStart"/>
      <w:r w:rsidR="001B4B79" w:rsidRPr="003C2E68">
        <w:rPr>
          <w:rFonts w:ascii="Book Antiqua" w:hAnsi="Book Antiqua"/>
          <w:sz w:val="21"/>
        </w:rPr>
        <w:t>ventilative</w:t>
      </w:r>
      <w:proofErr w:type="spellEnd"/>
      <w:r w:rsidR="001B4B79" w:rsidRPr="003C2E68">
        <w:rPr>
          <w:rFonts w:ascii="Book Antiqua" w:hAnsi="Book Antiqua"/>
          <w:sz w:val="21"/>
        </w:rPr>
        <w:t xml:space="preserve"> cooling to mitigate overheating (‘overheating condition’)</w:t>
      </w:r>
    </w:p>
    <w:p w:rsidR="00284052" w:rsidRPr="003C2E68" w:rsidRDefault="00284052" w:rsidP="001B4B79">
      <w:pPr>
        <w:spacing w:after="240"/>
        <w:ind w:left="720" w:right="-187"/>
        <w:rPr>
          <w:rFonts w:ascii="Book Antiqua" w:hAnsi="Book Antiqua"/>
          <w:sz w:val="21"/>
        </w:rPr>
      </w:pPr>
      <w:r w:rsidRPr="003C2E68">
        <w:rPr>
          <w:rFonts w:ascii="Book Antiqua" w:hAnsi="Book Antiqua"/>
          <w:sz w:val="21"/>
        </w:rPr>
        <w:t>“3.4</w:t>
      </w:r>
      <w:r w:rsidRPr="003C2E68">
        <w:rPr>
          <w:rFonts w:ascii="Book Antiqua" w:hAnsi="Book Antiqua"/>
          <w:sz w:val="21"/>
        </w:rPr>
        <w:tab/>
      </w:r>
      <w:r w:rsidR="001B4B79" w:rsidRPr="003C2E68">
        <w:rPr>
          <w:rFonts w:ascii="Book Antiqua" w:hAnsi="Book Antiqua"/>
          <w:sz w:val="21"/>
        </w:rPr>
        <w:t>In terms of noise effect, the important distinction between these two situations is that the ADF ventilation condition applies for the entire time whereas the overheating condition applies only for part of the time</w:t>
      </w:r>
      <w:proofErr w:type="gramStart"/>
      <w:r w:rsidR="001B4B79" w:rsidRPr="003C2E68">
        <w:rPr>
          <w:rFonts w:ascii="Book Antiqua" w:hAnsi="Book Antiqua"/>
          <w:sz w:val="21"/>
        </w:rPr>
        <w:t>.</w:t>
      </w:r>
      <w:r w:rsidRPr="003C2E68">
        <w:rPr>
          <w:rFonts w:ascii="Book Antiqua" w:hAnsi="Book Antiqua"/>
          <w:sz w:val="21"/>
        </w:rPr>
        <w:t>“</w:t>
      </w:r>
      <w:proofErr w:type="gramEnd"/>
    </w:p>
    <w:p w:rsidR="001B4B79" w:rsidRPr="003C2E68" w:rsidRDefault="001B4B79" w:rsidP="00284052">
      <w:pPr>
        <w:spacing w:after="240"/>
        <w:ind w:right="-187"/>
        <w:rPr>
          <w:rFonts w:ascii="Book Antiqua" w:hAnsi="Book Antiqua"/>
          <w:sz w:val="21"/>
        </w:rPr>
      </w:pPr>
      <w:r w:rsidRPr="003C2E68">
        <w:rPr>
          <w:rFonts w:ascii="Book Antiqua" w:hAnsi="Book Antiqua"/>
          <w:sz w:val="21"/>
        </w:rPr>
        <w:t>In considering appropriate internal ambient noise levels due to transport</w:t>
      </w:r>
      <w:r w:rsidR="0041788A" w:rsidRPr="003C2E68">
        <w:rPr>
          <w:rFonts w:ascii="Book Antiqua" w:hAnsi="Book Antiqua"/>
          <w:sz w:val="21"/>
        </w:rPr>
        <w:t>ation</w:t>
      </w:r>
      <w:r w:rsidRPr="003C2E68">
        <w:rPr>
          <w:rFonts w:ascii="Book Antiqua" w:hAnsi="Book Antiqua"/>
          <w:sz w:val="21"/>
        </w:rPr>
        <w:t xml:space="preserve"> noise</w:t>
      </w:r>
      <w:r w:rsidR="0041788A" w:rsidRPr="003C2E68">
        <w:rPr>
          <w:rFonts w:ascii="Book Antiqua" w:hAnsi="Book Antiqua"/>
          <w:sz w:val="21"/>
        </w:rPr>
        <w:t xml:space="preserve"> the Guide states:</w:t>
      </w:r>
    </w:p>
    <w:p w:rsidR="0041788A" w:rsidRPr="003C2E68" w:rsidRDefault="0041788A" w:rsidP="0041788A">
      <w:pPr>
        <w:spacing w:after="240"/>
        <w:ind w:left="720" w:right="-187"/>
        <w:rPr>
          <w:rFonts w:ascii="Book Antiqua" w:hAnsi="Book Antiqua"/>
          <w:sz w:val="21"/>
        </w:rPr>
      </w:pPr>
      <w:r w:rsidRPr="003C2E68">
        <w:rPr>
          <w:rFonts w:ascii="Book Antiqua" w:hAnsi="Book Antiqua"/>
          <w:sz w:val="21"/>
        </w:rPr>
        <w:t>“3.9</w:t>
      </w:r>
      <w:r w:rsidRPr="003C2E68">
        <w:rPr>
          <w:rFonts w:ascii="Book Antiqua" w:hAnsi="Book Antiqua"/>
          <w:sz w:val="21"/>
        </w:rPr>
        <w:tab/>
        <w:t>It is suggested here that the desirable internal noise standards within Table 4 of BS 8233:2014 should be achieved when providing adequate ventilation as defined by ADF whole dwelling ventilation.  However, it is considered reasonable to allow higher levels of internal ambient noise from transport sources when higher rates of ventilation are required in relation to the overheating condition.</w:t>
      </w:r>
    </w:p>
    <w:p w:rsidR="001B4B79" w:rsidRPr="003C2E68" w:rsidRDefault="0041788A" w:rsidP="0041788A">
      <w:pPr>
        <w:spacing w:after="240"/>
        <w:ind w:left="720" w:right="-187"/>
        <w:rPr>
          <w:rFonts w:ascii="Book Antiqua" w:hAnsi="Book Antiqua"/>
          <w:sz w:val="21"/>
        </w:rPr>
      </w:pPr>
      <w:r w:rsidRPr="003C2E68">
        <w:rPr>
          <w:rFonts w:ascii="Book Antiqua" w:hAnsi="Book Antiqua"/>
          <w:sz w:val="21"/>
        </w:rPr>
        <w:t>“3.10</w:t>
      </w:r>
      <w:r w:rsidRPr="003C2E68">
        <w:rPr>
          <w:rFonts w:ascii="Book Antiqua" w:hAnsi="Book Antiqua"/>
          <w:sz w:val="21"/>
        </w:rPr>
        <w:tab/>
        <w:t xml:space="preserve">The basis for this is that the overheating condition occurs for only part of the time. </w:t>
      </w:r>
      <w:r w:rsidR="00465ACE" w:rsidRPr="003C2E68">
        <w:rPr>
          <w:rFonts w:ascii="Book Antiqua" w:hAnsi="Book Antiqua"/>
          <w:sz w:val="21"/>
        </w:rPr>
        <w:t xml:space="preserve"> </w:t>
      </w:r>
      <w:r w:rsidRPr="003C2E68">
        <w:rPr>
          <w:rFonts w:ascii="Book Antiqua" w:hAnsi="Book Antiqua"/>
          <w:sz w:val="21"/>
        </w:rPr>
        <w:t>During this period, occupants may accept a trade-off between acoustic and thermal conditions, given that they have some control over their environment.  In other words, occupants may, at their own discretion, be more willing to accept higher short-term noise levels in order to achieve better thermal comfort.  The importance of control is relevant to daytime exposure, but not to night time exposure where the consideration is sleep disturbance.</w:t>
      </w:r>
      <w:r w:rsidR="00EB2470" w:rsidRPr="003C2E68">
        <w:rPr>
          <w:rFonts w:ascii="Book Antiqua" w:hAnsi="Book Antiqua"/>
          <w:sz w:val="21"/>
        </w:rPr>
        <w:t>”</w:t>
      </w:r>
    </w:p>
    <w:p w:rsidR="00EB2470" w:rsidRPr="003C2E68" w:rsidRDefault="00EB2470" w:rsidP="00EB2470">
      <w:pPr>
        <w:spacing w:after="240"/>
        <w:ind w:left="720" w:right="-187"/>
        <w:rPr>
          <w:rFonts w:ascii="Book Antiqua" w:hAnsi="Book Antiqua"/>
          <w:sz w:val="21"/>
        </w:rPr>
      </w:pPr>
      <w:r w:rsidRPr="003C2E68">
        <w:rPr>
          <w:rFonts w:ascii="Book Antiqua" w:hAnsi="Book Antiqua"/>
          <w:sz w:val="21"/>
        </w:rPr>
        <w:t>“3.13</w:t>
      </w:r>
      <w:r w:rsidRPr="003C2E68">
        <w:rPr>
          <w:rFonts w:ascii="Book Antiqua" w:hAnsi="Book Antiqua"/>
          <w:sz w:val="21"/>
        </w:rPr>
        <w:tab/>
        <w:t>The values in Table 3-2 are based on the assumption of a 13 dB difference between external free-field noise levels and internal ambient noise levels. Refer to paragraph 3.24 for further discussion.</w:t>
      </w:r>
    </w:p>
    <w:p w:rsidR="00EB2470" w:rsidRPr="003C2E68" w:rsidRDefault="00EB2470" w:rsidP="00EB2470">
      <w:pPr>
        <w:spacing w:after="240"/>
        <w:ind w:left="720" w:right="-187"/>
        <w:rPr>
          <w:rFonts w:ascii="Book Antiqua" w:hAnsi="Book Antiqua"/>
          <w:sz w:val="21"/>
        </w:rPr>
      </w:pPr>
      <w:r w:rsidRPr="003C2E68">
        <w:rPr>
          <w:rFonts w:ascii="Book Antiqua" w:hAnsi="Book Antiqua"/>
          <w:sz w:val="21"/>
        </w:rPr>
        <w:t>“3.14</w:t>
      </w:r>
      <w:r w:rsidRPr="003C2E68">
        <w:rPr>
          <w:rFonts w:ascii="Book Antiqua" w:hAnsi="Book Antiqua"/>
          <w:sz w:val="21"/>
        </w:rPr>
        <w:tab/>
        <w:t xml:space="preserve">Table 3-2 suggests that a Level 2 assessment is not required in situations where it is expected that reasonable internal conditions, described in </w:t>
      </w:r>
      <w:proofErr w:type="spellStart"/>
      <w:r w:rsidRPr="003C2E68">
        <w:rPr>
          <w:rFonts w:ascii="Book Antiqua" w:hAnsi="Book Antiqua"/>
          <w:sz w:val="21"/>
        </w:rPr>
        <w:t>ProPG</w:t>
      </w:r>
      <w:proofErr w:type="spellEnd"/>
      <w:r w:rsidRPr="003C2E68">
        <w:rPr>
          <w:rFonts w:ascii="Book Antiqua" w:hAnsi="Book Antiqua"/>
          <w:sz w:val="21"/>
        </w:rPr>
        <w:t xml:space="preserve"> as BS 8233 levels relaxed by up to 5 dB, will be achieved.”</w:t>
      </w:r>
    </w:p>
    <w:p w:rsidR="00EB2470" w:rsidRPr="003C2E68" w:rsidRDefault="00EB2470" w:rsidP="00EB2470">
      <w:pPr>
        <w:spacing w:after="240"/>
        <w:ind w:left="720" w:right="-187"/>
        <w:rPr>
          <w:rFonts w:ascii="Book Antiqua" w:hAnsi="Book Antiqua"/>
          <w:sz w:val="21"/>
        </w:rPr>
      </w:pPr>
      <w:r w:rsidRPr="003C2E68">
        <w:rPr>
          <w:rFonts w:ascii="Book Antiqua" w:hAnsi="Book Antiqua"/>
          <w:sz w:val="21"/>
        </w:rPr>
        <w:t>“3.18</w:t>
      </w:r>
      <w:r w:rsidRPr="003C2E68">
        <w:rPr>
          <w:rFonts w:ascii="Book Antiqua" w:hAnsi="Book Antiqua"/>
          <w:sz w:val="21"/>
        </w:rPr>
        <w:tab/>
        <w:t>In the case of the overheating condition, the effect of increased internal ambient noise from external noise sources will depend both on the absolute noise level and the amount of time for which the overheating condition occurs.  A good design process should therefore, as a priority, seek to minimise heat gains thereby reducing the amount and duration of ventilation required to control overheating and the consequential effect from increased ingress of noise.</w:t>
      </w:r>
    </w:p>
    <w:p w:rsidR="00EB2470" w:rsidRPr="003C2E68" w:rsidRDefault="00EB2470" w:rsidP="00EB2470">
      <w:pPr>
        <w:spacing w:after="240"/>
        <w:ind w:left="720" w:right="-187"/>
        <w:rPr>
          <w:rFonts w:ascii="Book Antiqua" w:hAnsi="Book Antiqua"/>
          <w:sz w:val="21"/>
        </w:rPr>
      </w:pPr>
      <w:r w:rsidRPr="003C2E68">
        <w:rPr>
          <w:rFonts w:ascii="Book Antiqua" w:hAnsi="Book Antiqua"/>
          <w:sz w:val="21"/>
        </w:rPr>
        <w:t>“3.19</w:t>
      </w:r>
      <w:r w:rsidRPr="003C2E68">
        <w:rPr>
          <w:rFonts w:ascii="Book Antiqua" w:hAnsi="Book Antiqua"/>
          <w:sz w:val="21"/>
        </w:rPr>
        <w:tab/>
        <w:t>No quantitative guidance regarding the combined effect of level and duration for the overheating condition is included in the current version of this document.  However, the situation is summarised qualitatively in Figure 3-2 and also addressed in the worked examples included in Appendix B.”</w:t>
      </w:r>
    </w:p>
    <w:p w:rsidR="00284052" w:rsidRPr="003C2E68" w:rsidRDefault="00284052" w:rsidP="00284052">
      <w:pPr>
        <w:spacing w:after="240"/>
        <w:ind w:right="-187"/>
        <w:rPr>
          <w:rFonts w:ascii="Book Antiqua" w:hAnsi="Book Antiqua"/>
          <w:sz w:val="21"/>
        </w:rPr>
      </w:pPr>
      <w:r w:rsidRPr="003C2E68">
        <w:rPr>
          <w:rFonts w:ascii="Book Antiqua" w:hAnsi="Book Antiqua"/>
          <w:sz w:val="21"/>
        </w:rPr>
        <w:lastRenderedPageBreak/>
        <w:t>Table 3-1 of the Guide confirms that for the ventilation conditions set out in Approved Document F of the Building Regulations (the ADF ventilation condition) the internal noise standards set out on BS8233: 2014 are appropriate, noting that no specific acoustic criteria need to be met under purge ventilation conditions</w:t>
      </w:r>
      <w:r w:rsidR="00C161F8" w:rsidRPr="003C2E68">
        <w:rPr>
          <w:rFonts w:ascii="Book Antiqua" w:hAnsi="Book Antiqua"/>
          <w:sz w:val="21"/>
        </w:rPr>
        <w:t>.</w:t>
      </w:r>
    </w:p>
    <w:p w:rsidR="00284052" w:rsidRPr="003C2E68" w:rsidRDefault="00284052" w:rsidP="00284052">
      <w:pPr>
        <w:spacing w:after="240"/>
        <w:ind w:right="-187"/>
        <w:rPr>
          <w:rFonts w:ascii="Book Antiqua" w:hAnsi="Book Antiqua"/>
          <w:sz w:val="21"/>
        </w:rPr>
      </w:pPr>
      <w:r w:rsidRPr="003C2E68">
        <w:rPr>
          <w:rFonts w:ascii="Book Antiqua" w:hAnsi="Book Antiqua"/>
          <w:sz w:val="21"/>
        </w:rPr>
        <w:t>Figure 3-1 of the Guide sets out in a flow chart the proposed two-level noise assessment procedure that is to apply to transportation noise in the potential overheating condition.  In turn this assessment procedure makes reference to:</w:t>
      </w:r>
    </w:p>
    <w:p w:rsidR="00284052" w:rsidRPr="003C2E68" w:rsidRDefault="00284052" w:rsidP="00FD7A86">
      <w:pPr>
        <w:pStyle w:val="ListParagraph"/>
        <w:numPr>
          <w:ilvl w:val="0"/>
          <w:numId w:val="16"/>
        </w:numPr>
        <w:spacing w:after="240"/>
        <w:ind w:left="714" w:right="-187" w:hanging="357"/>
        <w:contextualSpacing w:val="0"/>
        <w:rPr>
          <w:rFonts w:ascii="Book Antiqua" w:hAnsi="Book Antiqua"/>
          <w:sz w:val="21"/>
        </w:rPr>
      </w:pPr>
      <w:r w:rsidRPr="003C2E68">
        <w:rPr>
          <w:rFonts w:ascii="Book Antiqua" w:hAnsi="Book Antiqua"/>
          <w:sz w:val="21"/>
        </w:rPr>
        <w:t>a Level 1 assessment where the risk of an adverse effect is assessed in accordance with the guidance provided in Table 3-2; and</w:t>
      </w:r>
    </w:p>
    <w:p w:rsidR="00284052" w:rsidRPr="003C2E68" w:rsidRDefault="00284052" w:rsidP="00FD7A86">
      <w:pPr>
        <w:pStyle w:val="ListParagraph"/>
        <w:numPr>
          <w:ilvl w:val="0"/>
          <w:numId w:val="16"/>
        </w:numPr>
        <w:spacing w:after="240"/>
        <w:ind w:left="714" w:right="-187" w:hanging="357"/>
        <w:contextualSpacing w:val="0"/>
        <w:rPr>
          <w:rFonts w:ascii="Book Antiqua" w:hAnsi="Book Antiqua"/>
          <w:sz w:val="21"/>
        </w:rPr>
      </w:pPr>
      <w:proofErr w:type="gramStart"/>
      <w:r w:rsidRPr="003C2E68">
        <w:rPr>
          <w:rFonts w:ascii="Book Antiqua" w:hAnsi="Book Antiqua"/>
          <w:sz w:val="21"/>
        </w:rPr>
        <w:t>a</w:t>
      </w:r>
      <w:proofErr w:type="gramEnd"/>
      <w:r w:rsidRPr="003C2E68">
        <w:rPr>
          <w:rFonts w:ascii="Book Antiqua" w:hAnsi="Book Antiqua"/>
          <w:sz w:val="21"/>
        </w:rPr>
        <w:t xml:space="preserve"> Level 2 assessment where the risk of an adverse effect is assessed in accordance with the guidance provided in Table 3-3</w:t>
      </w:r>
      <w:r w:rsidR="00D62FCA" w:rsidRPr="003C2E68">
        <w:rPr>
          <w:rFonts w:ascii="Book Antiqua" w:hAnsi="Book Antiqua"/>
          <w:sz w:val="21"/>
        </w:rPr>
        <w:t xml:space="preserve"> and Figure 3.2</w:t>
      </w:r>
      <w:r w:rsidRPr="003C2E68">
        <w:rPr>
          <w:rFonts w:ascii="Book Antiqua" w:hAnsi="Book Antiqua"/>
          <w:sz w:val="21"/>
        </w:rPr>
        <w:t>.</w:t>
      </w:r>
    </w:p>
    <w:p w:rsidR="00284052" w:rsidRPr="003C2E68" w:rsidRDefault="00B23425" w:rsidP="00284052">
      <w:pPr>
        <w:spacing w:after="240"/>
        <w:ind w:right="-187"/>
        <w:rPr>
          <w:rFonts w:ascii="Book Antiqua" w:hAnsi="Book Antiqua"/>
          <w:sz w:val="21"/>
        </w:rPr>
      </w:pPr>
      <w:r w:rsidRPr="003C2E68">
        <w:rPr>
          <w:rFonts w:ascii="Book Antiqua" w:hAnsi="Book Antiqua"/>
          <w:sz w:val="21"/>
        </w:rPr>
        <w:t xml:space="preserve">The Guide provides guidance on appropriate </w:t>
      </w:r>
      <w:r w:rsidR="00284052" w:rsidRPr="003C2E68">
        <w:rPr>
          <w:rFonts w:ascii="Book Antiqua" w:hAnsi="Book Antiqua"/>
          <w:sz w:val="21"/>
        </w:rPr>
        <w:t xml:space="preserve">internal </w:t>
      </w:r>
      <w:r w:rsidRPr="003C2E68">
        <w:rPr>
          <w:rFonts w:ascii="Book Antiqua" w:hAnsi="Book Antiqua"/>
          <w:sz w:val="21"/>
        </w:rPr>
        <w:t xml:space="preserve">ambient </w:t>
      </w:r>
      <w:r w:rsidR="00284052" w:rsidRPr="003C2E68">
        <w:rPr>
          <w:rFonts w:ascii="Book Antiqua" w:hAnsi="Book Antiqua"/>
          <w:sz w:val="21"/>
        </w:rPr>
        <w:t>noise levels</w:t>
      </w:r>
      <w:r w:rsidRPr="003C2E68">
        <w:rPr>
          <w:rFonts w:ascii="Book Antiqua" w:hAnsi="Book Antiqua"/>
          <w:sz w:val="21"/>
        </w:rPr>
        <w:t xml:space="preserve"> due to mechanical ventilation systems</w:t>
      </w:r>
      <w:r w:rsidR="00284052" w:rsidRPr="003C2E68">
        <w:rPr>
          <w:rFonts w:ascii="Book Antiqua" w:hAnsi="Book Antiqua"/>
          <w:sz w:val="21"/>
        </w:rPr>
        <w:t xml:space="preserve"> in:</w:t>
      </w:r>
    </w:p>
    <w:p w:rsidR="00284052" w:rsidRPr="003C2E68" w:rsidRDefault="00284052" w:rsidP="00B23425">
      <w:pPr>
        <w:pStyle w:val="ListParagraph"/>
        <w:numPr>
          <w:ilvl w:val="0"/>
          <w:numId w:val="17"/>
        </w:numPr>
        <w:spacing w:after="240"/>
        <w:ind w:right="-187"/>
        <w:contextualSpacing w:val="0"/>
        <w:rPr>
          <w:rFonts w:ascii="Book Antiqua" w:hAnsi="Book Antiqua"/>
          <w:sz w:val="21"/>
        </w:rPr>
      </w:pPr>
      <w:r w:rsidRPr="003C2E68">
        <w:rPr>
          <w:rFonts w:ascii="Book Antiqua" w:hAnsi="Book Antiqua"/>
          <w:sz w:val="21"/>
        </w:rPr>
        <w:t xml:space="preserve">Table 3-4, which </w:t>
      </w:r>
      <w:r w:rsidR="00F04C75" w:rsidRPr="003C2E68">
        <w:rPr>
          <w:rFonts w:ascii="Book Antiqua" w:hAnsi="Book Antiqua"/>
          <w:sz w:val="21"/>
        </w:rPr>
        <w:t>sets out the</w:t>
      </w:r>
      <w:r w:rsidRPr="003C2E68">
        <w:rPr>
          <w:rFonts w:ascii="Book Antiqua" w:hAnsi="Book Antiqua"/>
          <w:sz w:val="21"/>
        </w:rPr>
        <w:t xml:space="preserve"> </w:t>
      </w:r>
      <w:r w:rsidR="00B23425" w:rsidRPr="003C2E68">
        <w:rPr>
          <w:rFonts w:ascii="Book Antiqua" w:hAnsi="Book Antiqua"/>
          <w:sz w:val="21"/>
        </w:rPr>
        <w:t>indoor ambient noise levels from mechanical services</w:t>
      </w:r>
      <w:r w:rsidR="00F04C75" w:rsidRPr="003C2E68">
        <w:rPr>
          <w:rFonts w:ascii="Book Antiqua" w:hAnsi="Book Antiqua"/>
          <w:sz w:val="21"/>
        </w:rPr>
        <w:t xml:space="preserve"> that are likely to be acceptable</w:t>
      </w:r>
      <w:r w:rsidR="00B23425" w:rsidRPr="003C2E68">
        <w:rPr>
          <w:rFonts w:ascii="Book Antiqua" w:hAnsi="Book Antiqua"/>
          <w:sz w:val="21"/>
        </w:rPr>
        <w:t xml:space="preserve"> for </w:t>
      </w:r>
      <w:r w:rsidR="00F04C75" w:rsidRPr="003C2E68">
        <w:rPr>
          <w:rFonts w:ascii="Book Antiqua" w:hAnsi="Book Antiqua"/>
          <w:sz w:val="21"/>
        </w:rPr>
        <w:t xml:space="preserve">the </w:t>
      </w:r>
      <w:r w:rsidR="00B23425" w:rsidRPr="003C2E68">
        <w:rPr>
          <w:rFonts w:ascii="Book Antiqua" w:hAnsi="Book Antiqua"/>
          <w:sz w:val="21"/>
        </w:rPr>
        <w:t>ADF ventilation condition</w:t>
      </w:r>
      <w:r w:rsidRPr="003C2E68">
        <w:rPr>
          <w:rFonts w:ascii="Book Antiqua" w:hAnsi="Book Antiqua"/>
          <w:sz w:val="21"/>
        </w:rPr>
        <w:t>;</w:t>
      </w:r>
      <w:r w:rsidR="00F04C75" w:rsidRPr="003C2E68">
        <w:rPr>
          <w:rFonts w:ascii="Book Antiqua" w:hAnsi="Book Antiqua"/>
          <w:sz w:val="21"/>
        </w:rPr>
        <w:t xml:space="preserve"> and</w:t>
      </w:r>
    </w:p>
    <w:p w:rsidR="00284052" w:rsidRPr="003C2E68" w:rsidRDefault="00F04C75" w:rsidP="00FD7A86">
      <w:pPr>
        <w:pStyle w:val="ListParagraph"/>
        <w:numPr>
          <w:ilvl w:val="0"/>
          <w:numId w:val="17"/>
        </w:numPr>
        <w:spacing w:after="240"/>
        <w:ind w:left="714" w:right="-187" w:hanging="357"/>
        <w:contextualSpacing w:val="0"/>
        <w:rPr>
          <w:rFonts w:ascii="Book Antiqua" w:hAnsi="Book Antiqua"/>
          <w:sz w:val="21"/>
        </w:rPr>
      </w:pPr>
      <w:r w:rsidRPr="003C2E68">
        <w:rPr>
          <w:rFonts w:ascii="Book Antiqua" w:hAnsi="Book Antiqua"/>
          <w:sz w:val="21"/>
        </w:rPr>
        <w:t>Table 3-5, which sets out the indoor ambient noise levels from mechanical services that are likely to be acceptable for ventilation condition required to avoid overheating</w:t>
      </w:r>
      <w:r w:rsidR="00284052" w:rsidRPr="003C2E68">
        <w:rPr>
          <w:rFonts w:ascii="Book Antiqua" w:hAnsi="Book Antiqua"/>
          <w:sz w:val="21"/>
        </w:rPr>
        <w:t>.</w:t>
      </w:r>
    </w:p>
    <w:p w:rsidR="00284052" w:rsidRPr="003C2E68" w:rsidRDefault="00284052" w:rsidP="00A15915">
      <w:pPr>
        <w:spacing w:after="240"/>
        <w:ind w:right="-187"/>
        <w:rPr>
          <w:rFonts w:ascii="Book Antiqua" w:hAnsi="Book Antiqua"/>
          <w:sz w:val="21"/>
        </w:rPr>
      </w:pPr>
      <w:r w:rsidRPr="003C2E68">
        <w:rPr>
          <w:rFonts w:ascii="Book Antiqua" w:hAnsi="Book Antiqua"/>
          <w:sz w:val="21"/>
        </w:rPr>
        <w:t xml:space="preserve">Appendix A of the guide provides additional information, including </w:t>
      </w:r>
      <w:r w:rsidR="00A15915" w:rsidRPr="003C2E68">
        <w:rPr>
          <w:rFonts w:ascii="Book Antiqua" w:hAnsi="Book Antiqua"/>
          <w:sz w:val="21"/>
        </w:rPr>
        <w:t xml:space="preserve">more detailed </w:t>
      </w:r>
      <w:r w:rsidRPr="003C2E68">
        <w:rPr>
          <w:rFonts w:ascii="Book Antiqua" w:hAnsi="Book Antiqua"/>
          <w:sz w:val="21"/>
        </w:rPr>
        <w:t xml:space="preserve">guidance on </w:t>
      </w:r>
      <w:r w:rsidR="00A15915" w:rsidRPr="003C2E68">
        <w:rPr>
          <w:rFonts w:ascii="Book Antiqua" w:hAnsi="Book Antiqua"/>
          <w:sz w:val="21"/>
        </w:rPr>
        <w:t>ventilation and overheating c</w:t>
      </w:r>
      <w:r w:rsidRPr="003C2E68">
        <w:rPr>
          <w:rFonts w:ascii="Book Antiqua" w:hAnsi="Book Antiqua"/>
          <w:sz w:val="21"/>
        </w:rPr>
        <w:t xml:space="preserve">riteria and </w:t>
      </w:r>
      <w:r w:rsidR="00FC230A" w:rsidRPr="003C2E68">
        <w:rPr>
          <w:rFonts w:ascii="Book Antiqua" w:hAnsi="Book Antiqua"/>
          <w:sz w:val="21"/>
        </w:rPr>
        <w:t>the achievement of satisfactory levels of thermal comfort.</w:t>
      </w:r>
    </w:p>
    <w:p w:rsidR="00284052" w:rsidRPr="003C2E68" w:rsidRDefault="00FC230A" w:rsidP="00FC230A">
      <w:pPr>
        <w:spacing w:after="240"/>
        <w:ind w:right="-187"/>
        <w:rPr>
          <w:rFonts w:ascii="Book Antiqua" w:hAnsi="Book Antiqua"/>
          <w:sz w:val="21"/>
        </w:rPr>
      </w:pPr>
      <w:r w:rsidRPr="003C2E68">
        <w:rPr>
          <w:rFonts w:ascii="Book Antiqua" w:hAnsi="Book Antiqua"/>
          <w:sz w:val="21"/>
        </w:rPr>
        <w:t>In respect of overheating criteria and guidance reference is made</w:t>
      </w:r>
      <w:r w:rsidR="00284052" w:rsidRPr="003C2E68">
        <w:rPr>
          <w:rFonts w:ascii="Book Antiqua" w:hAnsi="Book Antiqua"/>
          <w:sz w:val="21"/>
        </w:rPr>
        <w:t xml:space="preserve"> to CIBSE Technical Memorandum 59 ‘Design methodology for the assessmen</w:t>
      </w:r>
      <w:r w:rsidRPr="003C2E68">
        <w:rPr>
          <w:rFonts w:ascii="Book Antiqua" w:hAnsi="Book Antiqua"/>
          <w:sz w:val="21"/>
        </w:rPr>
        <w:t>t of overheating risk in homes’.  This document</w:t>
      </w:r>
      <w:r w:rsidR="00284052" w:rsidRPr="003C2E68">
        <w:rPr>
          <w:rFonts w:ascii="Book Antiqua" w:hAnsi="Book Antiqua"/>
          <w:sz w:val="21"/>
        </w:rPr>
        <w:t xml:space="preserve"> sets out sets out a standardised methodology for predicting temperatures inside dwellings (including care homes and student accommodation)</w:t>
      </w:r>
      <w:r w:rsidRPr="003C2E68">
        <w:rPr>
          <w:rFonts w:ascii="Book Antiqua" w:hAnsi="Book Antiqua"/>
          <w:sz w:val="21"/>
        </w:rPr>
        <w:t xml:space="preserve"> and also provides overheating ‘compliance criteria’.</w:t>
      </w:r>
    </w:p>
    <w:p w:rsidR="00284052" w:rsidRPr="003C2E68" w:rsidRDefault="00FC230A" w:rsidP="00284052">
      <w:pPr>
        <w:spacing w:after="240"/>
        <w:ind w:right="-187"/>
        <w:rPr>
          <w:rFonts w:ascii="Book Antiqua" w:hAnsi="Book Antiqua"/>
          <w:sz w:val="21"/>
        </w:rPr>
      </w:pPr>
      <w:r w:rsidRPr="003C2E68">
        <w:rPr>
          <w:rFonts w:ascii="Book Antiqua" w:hAnsi="Book Antiqua"/>
          <w:sz w:val="21"/>
        </w:rPr>
        <w:t>Paragraph A.22</w:t>
      </w:r>
      <w:r w:rsidR="00284052" w:rsidRPr="003C2E68">
        <w:rPr>
          <w:rFonts w:ascii="Book Antiqua" w:hAnsi="Book Antiqua"/>
          <w:sz w:val="21"/>
        </w:rPr>
        <w:t xml:space="preserve"> of the </w:t>
      </w:r>
      <w:r w:rsidRPr="003C2E68">
        <w:rPr>
          <w:rFonts w:ascii="Book Antiqua" w:hAnsi="Book Antiqua"/>
          <w:sz w:val="21"/>
        </w:rPr>
        <w:t xml:space="preserve">AVO </w:t>
      </w:r>
      <w:r w:rsidR="00284052" w:rsidRPr="003C2E68">
        <w:rPr>
          <w:rFonts w:ascii="Book Antiqua" w:hAnsi="Book Antiqua"/>
          <w:sz w:val="21"/>
        </w:rPr>
        <w:t>Guide states:</w:t>
      </w:r>
    </w:p>
    <w:p w:rsidR="00284052" w:rsidRPr="003C2E68" w:rsidRDefault="00884C1B" w:rsidP="00284052">
      <w:pPr>
        <w:spacing w:after="240"/>
        <w:ind w:left="720" w:right="-187"/>
        <w:rPr>
          <w:rFonts w:ascii="Book Antiqua" w:hAnsi="Book Antiqua"/>
          <w:sz w:val="21"/>
        </w:rPr>
      </w:pPr>
      <w:r w:rsidRPr="003C2E68">
        <w:rPr>
          <w:rFonts w:ascii="Book Antiqua" w:hAnsi="Book Antiqua"/>
          <w:sz w:val="21"/>
        </w:rPr>
        <w:t>“A.22</w:t>
      </w:r>
      <w:r w:rsidR="00284052" w:rsidRPr="003C2E68">
        <w:rPr>
          <w:rFonts w:ascii="Book Antiqua" w:hAnsi="Book Antiqua"/>
          <w:sz w:val="21"/>
        </w:rPr>
        <w:tab/>
        <w:t>CIBSE TM59 notes that:</w:t>
      </w:r>
    </w:p>
    <w:p w:rsidR="00284052" w:rsidRPr="003C2E68" w:rsidRDefault="00284052" w:rsidP="00284052">
      <w:pPr>
        <w:spacing w:after="240"/>
        <w:ind w:left="720" w:right="-187"/>
        <w:rPr>
          <w:rFonts w:ascii="Book Antiqua" w:hAnsi="Book Antiqua"/>
          <w:sz w:val="21"/>
        </w:rPr>
      </w:pPr>
      <w:r w:rsidRPr="003C2E68">
        <w:rPr>
          <w:rFonts w:ascii="Book Antiqua" w:hAnsi="Book Antiqua"/>
          <w:sz w:val="21"/>
        </w:rPr>
        <w:t>This methodology is proposed for all residences and should especially be considered for</w:t>
      </w:r>
      <w:proofErr w:type="gramStart"/>
      <w:r w:rsidRPr="003C2E68">
        <w:rPr>
          <w:rFonts w:ascii="Book Antiqua" w:hAnsi="Book Antiqua"/>
          <w:sz w:val="21"/>
        </w:rPr>
        <w:t>:</w:t>
      </w:r>
      <w:proofErr w:type="gramEnd"/>
      <w:r w:rsidR="00884C1B" w:rsidRPr="003C2E68">
        <w:rPr>
          <w:rFonts w:ascii="Book Antiqua" w:hAnsi="Book Antiqua"/>
          <w:sz w:val="21"/>
        </w:rPr>
        <w:br/>
      </w:r>
      <w:r w:rsidRPr="003C2E68">
        <w:rPr>
          <w:rFonts w:ascii="Book Antiqua" w:hAnsi="Book Antiqua"/>
          <w:sz w:val="21"/>
        </w:rPr>
        <w:t>— large developments</w:t>
      </w:r>
      <w:r w:rsidR="00884C1B" w:rsidRPr="003C2E68">
        <w:rPr>
          <w:rFonts w:ascii="Book Antiqua" w:hAnsi="Book Antiqua"/>
          <w:sz w:val="21"/>
        </w:rPr>
        <w:br/>
      </w:r>
      <w:r w:rsidRPr="003C2E68">
        <w:rPr>
          <w:rFonts w:ascii="Book Antiqua" w:hAnsi="Book Antiqua"/>
          <w:sz w:val="21"/>
        </w:rPr>
        <w:t>— developments in urban areas, particularly in southern England</w:t>
      </w:r>
      <w:r w:rsidR="00884C1B" w:rsidRPr="003C2E68">
        <w:rPr>
          <w:rFonts w:ascii="Book Antiqua" w:hAnsi="Book Antiqua"/>
          <w:sz w:val="21"/>
        </w:rPr>
        <w:br/>
      </w:r>
      <w:r w:rsidRPr="003C2E68">
        <w:rPr>
          <w:rFonts w:ascii="Book Antiqua" w:hAnsi="Book Antiqua"/>
          <w:sz w:val="21"/>
        </w:rPr>
        <w:t>— blocks of flats</w:t>
      </w:r>
      <w:r w:rsidR="00884C1B" w:rsidRPr="003C2E68">
        <w:rPr>
          <w:rFonts w:ascii="Book Antiqua" w:hAnsi="Book Antiqua"/>
          <w:sz w:val="21"/>
        </w:rPr>
        <w:br/>
      </w:r>
      <w:r w:rsidRPr="003C2E68">
        <w:rPr>
          <w:rFonts w:ascii="Book Antiqua" w:hAnsi="Book Antiqua"/>
          <w:sz w:val="21"/>
        </w:rPr>
        <w:t>— dwellings with high levels of insulation and air-tightness</w:t>
      </w:r>
      <w:r w:rsidR="00884C1B" w:rsidRPr="003C2E68">
        <w:rPr>
          <w:rFonts w:ascii="Book Antiqua" w:hAnsi="Book Antiqua"/>
          <w:sz w:val="21"/>
        </w:rPr>
        <w:br/>
      </w:r>
      <w:r w:rsidRPr="003C2E68">
        <w:rPr>
          <w:rFonts w:ascii="Book Antiqua" w:hAnsi="Book Antiqua"/>
          <w:sz w:val="21"/>
        </w:rPr>
        <w:t>— single aspect flats.</w:t>
      </w:r>
    </w:p>
    <w:p w:rsidR="00284052" w:rsidRPr="003C2E68" w:rsidRDefault="00284052" w:rsidP="00284052">
      <w:pPr>
        <w:spacing w:after="240"/>
        <w:ind w:left="720" w:right="-187"/>
        <w:rPr>
          <w:rFonts w:ascii="Book Antiqua" w:hAnsi="Book Antiqua"/>
          <w:sz w:val="21"/>
        </w:rPr>
      </w:pPr>
      <w:r w:rsidRPr="003C2E68">
        <w:rPr>
          <w:rFonts w:ascii="Book Antiqua" w:hAnsi="Book Antiqua"/>
          <w:sz w:val="21"/>
        </w:rPr>
        <w:t>Individual houses and developments with a low risk of overheating may not require the use of dynamic thermal modelling…”</w:t>
      </w:r>
    </w:p>
    <w:p w:rsidR="00284052" w:rsidRPr="003C2E68" w:rsidRDefault="00884C1B" w:rsidP="00284052">
      <w:pPr>
        <w:spacing w:after="240"/>
        <w:ind w:right="-187"/>
        <w:rPr>
          <w:rFonts w:ascii="Book Antiqua" w:hAnsi="Book Antiqua"/>
          <w:sz w:val="21"/>
        </w:rPr>
      </w:pPr>
      <w:r w:rsidRPr="003C2E68">
        <w:rPr>
          <w:rFonts w:ascii="Book Antiqua" w:hAnsi="Book Antiqua"/>
          <w:sz w:val="21"/>
        </w:rPr>
        <w:t>T</w:t>
      </w:r>
      <w:r w:rsidR="00284052" w:rsidRPr="003C2E68">
        <w:rPr>
          <w:rFonts w:ascii="Book Antiqua" w:hAnsi="Book Antiqua"/>
          <w:sz w:val="21"/>
        </w:rPr>
        <w:t>he Guide then goes on to discuss the compliance criteria specified in CIBSE TM59 for homes that are predominantly naturally ventilated and for homes that are predominantly mechanically ventilated.</w:t>
      </w:r>
    </w:p>
    <w:p w:rsidR="00884C1B" w:rsidRPr="003C2E68" w:rsidRDefault="0002494A" w:rsidP="00284052">
      <w:pPr>
        <w:spacing w:after="240"/>
        <w:ind w:right="-187"/>
        <w:rPr>
          <w:rFonts w:ascii="Book Antiqua" w:hAnsi="Book Antiqua"/>
          <w:sz w:val="21"/>
        </w:rPr>
      </w:pPr>
      <w:r w:rsidRPr="003C2E68">
        <w:rPr>
          <w:rFonts w:ascii="Book Antiqua" w:hAnsi="Book Antiqua"/>
          <w:sz w:val="21"/>
        </w:rPr>
        <w:t>Reference is also made to</w:t>
      </w:r>
      <w:r w:rsidR="00884C1B" w:rsidRPr="003C2E68">
        <w:rPr>
          <w:rFonts w:ascii="Book Antiqua" w:hAnsi="Book Antiqua"/>
          <w:sz w:val="21"/>
        </w:rPr>
        <w:t>:</w:t>
      </w:r>
    </w:p>
    <w:p w:rsidR="00884C1B" w:rsidRPr="003C2E68" w:rsidRDefault="0002494A" w:rsidP="00884C1B">
      <w:pPr>
        <w:pStyle w:val="ListParagraph"/>
        <w:numPr>
          <w:ilvl w:val="0"/>
          <w:numId w:val="27"/>
        </w:numPr>
        <w:spacing w:after="240"/>
        <w:ind w:left="714" w:right="-187" w:hanging="357"/>
        <w:contextualSpacing w:val="0"/>
        <w:rPr>
          <w:rFonts w:ascii="Book Antiqua" w:hAnsi="Book Antiqua"/>
          <w:sz w:val="21"/>
        </w:rPr>
      </w:pPr>
      <w:r w:rsidRPr="003C2E68">
        <w:rPr>
          <w:rFonts w:ascii="Book Antiqua" w:hAnsi="Book Antiqua"/>
          <w:sz w:val="21"/>
        </w:rPr>
        <w:t xml:space="preserve">the </w:t>
      </w:r>
      <w:r w:rsidR="00284052" w:rsidRPr="003C2E68">
        <w:rPr>
          <w:rFonts w:ascii="Book Antiqua" w:hAnsi="Book Antiqua"/>
          <w:sz w:val="21"/>
        </w:rPr>
        <w:t>Standard Assessment Procedure for Energy Rating of Dwellings’ (SAP), 2012</w:t>
      </w:r>
      <w:r w:rsidR="00884C1B" w:rsidRPr="003C2E68">
        <w:rPr>
          <w:rFonts w:ascii="Book Antiqua" w:hAnsi="Book Antiqua"/>
          <w:sz w:val="21"/>
        </w:rPr>
        <w:t>; and</w:t>
      </w:r>
    </w:p>
    <w:p w:rsidR="0002494A" w:rsidRPr="003C2E68" w:rsidRDefault="0002494A" w:rsidP="0002494A">
      <w:pPr>
        <w:pStyle w:val="ListParagraph"/>
        <w:numPr>
          <w:ilvl w:val="0"/>
          <w:numId w:val="27"/>
        </w:numPr>
        <w:spacing w:after="240"/>
        <w:ind w:right="-187"/>
        <w:contextualSpacing w:val="0"/>
        <w:rPr>
          <w:rFonts w:ascii="Book Antiqua" w:hAnsi="Book Antiqua"/>
          <w:sz w:val="21"/>
        </w:rPr>
      </w:pPr>
      <w:r w:rsidRPr="003C2E68">
        <w:rPr>
          <w:rFonts w:ascii="Book Antiqua" w:hAnsi="Book Antiqua"/>
          <w:sz w:val="21"/>
        </w:rPr>
        <w:t>the Housing Health and Safety Rating System; and</w:t>
      </w:r>
    </w:p>
    <w:p w:rsidR="00284052" w:rsidRPr="003C2E68" w:rsidRDefault="0002494A" w:rsidP="0002494A">
      <w:pPr>
        <w:pStyle w:val="ListParagraph"/>
        <w:numPr>
          <w:ilvl w:val="0"/>
          <w:numId w:val="27"/>
        </w:numPr>
        <w:spacing w:after="240"/>
        <w:ind w:right="-187"/>
        <w:contextualSpacing w:val="0"/>
        <w:rPr>
          <w:rFonts w:ascii="Book Antiqua" w:hAnsi="Book Antiqua"/>
          <w:sz w:val="21"/>
        </w:rPr>
      </w:pPr>
      <w:proofErr w:type="gramStart"/>
      <w:r w:rsidRPr="003C2E68">
        <w:rPr>
          <w:rFonts w:ascii="Book Antiqua" w:hAnsi="Book Antiqua"/>
          <w:sz w:val="21"/>
        </w:rPr>
        <w:lastRenderedPageBreak/>
        <w:t>the</w:t>
      </w:r>
      <w:proofErr w:type="gramEnd"/>
      <w:r w:rsidRPr="003C2E68">
        <w:rPr>
          <w:rFonts w:ascii="Book Antiqua" w:hAnsi="Book Antiqua"/>
          <w:sz w:val="21"/>
        </w:rPr>
        <w:t xml:space="preserve"> IEA Energy in Buildings and Communities Programme – Annex 62 – </w:t>
      </w:r>
      <w:proofErr w:type="spellStart"/>
      <w:r w:rsidRPr="003C2E68">
        <w:rPr>
          <w:rFonts w:ascii="Book Antiqua" w:hAnsi="Book Antiqua"/>
          <w:sz w:val="21"/>
        </w:rPr>
        <w:t>Ventilative</w:t>
      </w:r>
      <w:proofErr w:type="spellEnd"/>
      <w:r w:rsidRPr="003C2E68">
        <w:rPr>
          <w:rFonts w:ascii="Book Antiqua" w:hAnsi="Book Antiqua"/>
          <w:sz w:val="21"/>
        </w:rPr>
        <w:t xml:space="preserve"> Cooling</w:t>
      </w:r>
      <w:r w:rsidR="00284052" w:rsidRPr="003C2E68">
        <w:rPr>
          <w:rFonts w:ascii="Book Antiqua" w:hAnsi="Book Antiqua"/>
          <w:sz w:val="21"/>
        </w:rPr>
        <w:t>.</w:t>
      </w:r>
    </w:p>
    <w:p w:rsidR="0002494A" w:rsidRPr="003C2E68" w:rsidRDefault="0002494A" w:rsidP="0002494A">
      <w:pPr>
        <w:spacing w:after="240"/>
        <w:ind w:right="-187"/>
        <w:rPr>
          <w:rFonts w:ascii="Book Antiqua" w:hAnsi="Book Antiqua"/>
          <w:sz w:val="21"/>
        </w:rPr>
      </w:pPr>
      <w:r w:rsidRPr="003C2E68">
        <w:rPr>
          <w:rFonts w:ascii="Book Antiqua" w:hAnsi="Book Antiqua"/>
          <w:sz w:val="21"/>
        </w:rPr>
        <w:t xml:space="preserve">Dynamic thermal modelling is also discussed as is the </w:t>
      </w:r>
      <w:r w:rsidR="00186C9D" w:rsidRPr="003C2E68">
        <w:rPr>
          <w:rFonts w:ascii="Book Antiqua" w:hAnsi="Book Antiqua"/>
          <w:sz w:val="21"/>
        </w:rPr>
        <w:t xml:space="preserve">early stage </w:t>
      </w:r>
      <w:r w:rsidR="00AD6959" w:rsidRPr="003C2E68">
        <w:rPr>
          <w:rFonts w:ascii="Book Antiqua" w:hAnsi="Book Antiqua"/>
          <w:sz w:val="21"/>
        </w:rPr>
        <w:t>overheating assessment tool contained in the document ‘Overheating in New Homes’ published by the Good Homes Alliance.</w:t>
      </w:r>
    </w:p>
    <w:p w:rsidR="0002494A" w:rsidRPr="003C2E68" w:rsidRDefault="00186C9D" w:rsidP="0002494A">
      <w:pPr>
        <w:spacing w:after="240"/>
        <w:ind w:right="-187"/>
        <w:rPr>
          <w:rFonts w:ascii="Book Antiqua" w:hAnsi="Book Antiqua"/>
          <w:sz w:val="21"/>
        </w:rPr>
      </w:pPr>
      <w:r w:rsidRPr="003C2E68">
        <w:rPr>
          <w:rFonts w:ascii="Book Antiqua" w:hAnsi="Book Antiqua"/>
          <w:sz w:val="21"/>
        </w:rPr>
        <w:t xml:space="preserve">The latter includes the consideration of situations where noise levels may be a reason for occupants preferring to keep windows closed for all or part of the day or night- time periods.  It is </w:t>
      </w:r>
      <w:r w:rsidR="0002494A" w:rsidRPr="003C2E68">
        <w:rPr>
          <w:rFonts w:ascii="Book Antiqua" w:hAnsi="Book Antiqua"/>
          <w:sz w:val="21"/>
        </w:rPr>
        <w:t xml:space="preserve">suggested </w:t>
      </w:r>
      <w:r w:rsidRPr="003C2E68">
        <w:rPr>
          <w:rFonts w:ascii="Book Antiqua" w:hAnsi="Book Antiqua"/>
          <w:sz w:val="21"/>
        </w:rPr>
        <w:t>that this assessment tool</w:t>
      </w:r>
      <w:r w:rsidR="0002494A" w:rsidRPr="003C2E68">
        <w:rPr>
          <w:rFonts w:ascii="Book Antiqua" w:hAnsi="Book Antiqua"/>
          <w:sz w:val="21"/>
        </w:rPr>
        <w:t xml:space="preserve"> may be of assistance in enab</w:t>
      </w:r>
      <w:r w:rsidR="00AD6959" w:rsidRPr="003C2E68">
        <w:rPr>
          <w:rFonts w:ascii="Book Antiqua" w:hAnsi="Book Antiqua"/>
          <w:sz w:val="21"/>
        </w:rPr>
        <w:t xml:space="preserve">ling </w:t>
      </w:r>
      <w:r w:rsidR="0002494A" w:rsidRPr="003C2E68">
        <w:rPr>
          <w:rFonts w:ascii="Book Antiqua" w:hAnsi="Book Antiqua"/>
          <w:sz w:val="21"/>
        </w:rPr>
        <w:t>non-specialist</w:t>
      </w:r>
      <w:r w:rsidR="00AD6959" w:rsidRPr="003C2E68">
        <w:rPr>
          <w:rFonts w:ascii="Book Antiqua" w:hAnsi="Book Antiqua"/>
          <w:sz w:val="21"/>
        </w:rPr>
        <w:t>s</w:t>
      </w:r>
      <w:r w:rsidR="0002494A" w:rsidRPr="003C2E68">
        <w:rPr>
          <w:rFonts w:ascii="Book Antiqua" w:hAnsi="Book Antiqua"/>
          <w:sz w:val="21"/>
        </w:rPr>
        <w:t xml:space="preserve"> to </w:t>
      </w:r>
      <w:r w:rsidR="00AD6959" w:rsidRPr="003C2E68">
        <w:rPr>
          <w:rFonts w:ascii="Book Antiqua" w:hAnsi="Book Antiqua"/>
          <w:sz w:val="21"/>
        </w:rPr>
        <w:t>obtain</w:t>
      </w:r>
      <w:r w:rsidR="0002494A" w:rsidRPr="003C2E68">
        <w:rPr>
          <w:rFonts w:ascii="Book Antiqua" w:hAnsi="Book Antiqua"/>
          <w:sz w:val="21"/>
        </w:rPr>
        <w:t xml:space="preserve"> a quantitative </w:t>
      </w:r>
      <w:r w:rsidR="00AD6959" w:rsidRPr="003C2E68">
        <w:rPr>
          <w:rFonts w:ascii="Book Antiqua" w:hAnsi="Book Antiqua"/>
          <w:sz w:val="21"/>
        </w:rPr>
        <w:t>estimate</w:t>
      </w:r>
      <w:r w:rsidR="0002494A" w:rsidRPr="003C2E68">
        <w:rPr>
          <w:rFonts w:ascii="Book Antiqua" w:hAnsi="Book Antiqua"/>
          <w:sz w:val="21"/>
        </w:rPr>
        <w:t xml:space="preserve"> </w:t>
      </w:r>
      <w:r w:rsidR="00AD6959" w:rsidRPr="003C2E68">
        <w:rPr>
          <w:rFonts w:ascii="Book Antiqua" w:hAnsi="Book Antiqua"/>
          <w:sz w:val="21"/>
        </w:rPr>
        <w:t>of</w:t>
      </w:r>
      <w:r w:rsidR="0002494A" w:rsidRPr="003C2E68">
        <w:rPr>
          <w:rFonts w:ascii="Book Antiqua" w:hAnsi="Book Antiqua"/>
          <w:sz w:val="21"/>
        </w:rPr>
        <w:t xml:space="preserve"> the </w:t>
      </w:r>
      <w:r w:rsidR="00AD6959" w:rsidRPr="003C2E68">
        <w:rPr>
          <w:rFonts w:ascii="Book Antiqua" w:hAnsi="Book Antiqua"/>
          <w:sz w:val="21"/>
        </w:rPr>
        <w:t xml:space="preserve">potential </w:t>
      </w:r>
      <w:r w:rsidR="0002494A" w:rsidRPr="003C2E68">
        <w:rPr>
          <w:rFonts w:ascii="Book Antiqua" w:hAnsi="Book Antiqua"/>
          <w:sz w:val="21"/>
        </w:rPr>
        <w:t>overheating risk</w:t>
      </w:r>
      <w:r w:rsidRPr="003C2E68">
        <w:rPr>
          <w:rFonts w:ascii="Book Antiqua" w:hAnsi="Book Antiqua"/>
          <w:sz w:val="21"/>
        </w:rPr>
        <w:t xml:space="preserve"> for proposed developments.</w:t>
      </w:r>
    </w:p>
    <w:p w:rsidR="00284052" w:rsidRPr="003C2E68" w:rsidRDefault="00284052" w:rsidP="00284052">
      <w:pPr>
        <w:spacing w:after="240"/>
        <w:ind w:right="-187"/>
        <w:rPr>
          <w:rFonts w:ascii="Book Antiqua" w:hAnsi="Book Antiqua"/>
          <w:sz w:val="21"/>
        </w:rPr>
      </w:pPr>
      <w:r w:rsidRPr="003C2E68">
        <w:rPr>
          <w:rFonts w:ascii="Book Antiqua" w:hAnsi="Book Antiqua"/>
          <w:sz w:val="21"/>
        </w:rPr>
        <w:t>Appendix B is concerned with the practical application of</w:t>
      </w:r>
      <w:r w:rsidR="00EA69E8" w:rsidRPr="003C2E68">
        <w:rPr>
          <w:rFonts w:ascii="Book Antiqua" w:hAnsi="Book Antiqua"/>
          <w:sz w:val="21"/>
        </w:rPr>
        <w:t xml:space="preserve"> the Guide, with Table B-1</w:t>
      </w:r>
      <w:r w:rsidRPr="003C2E68">
        <w:rPr>
          <w:rFonts w:ascii="Book Antiqua" w:hAnsi="Book Antiqua"/>
          <w:sz w:val="21"/>
        </w:rPr>
        <w:t xml:space="preserve"> identifying three steps to link the noise assessment to the ventilation and overheating strategies.  Figure B-1 shows the typical activity of the acoustic designer in developing the design.</w:t>
      </w:r>
    </w:p>
    <w:p w:rsidR="00EA69E8" w:rsidRPr="003C2E68" w:rsidRDefault="00EA69E8" w:rsidP="00284052">
      <w:pPr>
        <w:spacing w:after="240"/>
        <w:ind w:right="-187"/>
        <w:rPr>
          <w:rFonts w:ascii="Book Antiqua" w:hAnsi="Book Antiqua"/>
          <w:sz w:val="21"/>
        </w:rPr>
      </w:pPr>
      <w:r w:rsidRPr="003C2E68">
        <w:rPr>
          <w:rFonts w:ascii="Book Antiqua" w:hAnsi="Book Antiqua"/>
          <w:sz w:val="21"/>
        </w:rPr>
        <w:t>In cons</w:t>
      </w:r>
      <w:r w:rsidR="00304628" w:rsidRPr="003C2E68">
        <w:rPr>
          <w:rFonts w:ascii="Book Antiqua" w:hAnsi="Book Antiqua"/>
          <w:sz w:val="21"/>
        </w:rPr>
        <w:t>idering the acoustics</w:t>
      </w:r>
      <w:r w:rsidRPr="003C2E68">
        <w:rPr>
          <w:rFonts w:ascii="Book Antiqua" w:hAnsi="Book Antiqua"/>
          <w:sz w:val="21"/>
        </w:rPr>
        <w:t xml:space="preserve"> effects of </w:t>
      </w:r>
      <w:r w:rsidR="00304628" w:rsidRPr="003C2E68">
        <w:rPr>
          <w:rFonts w:ascii="Book Antiqua" w:hAnsi="Book Antiqua"/>
          <w:sz w:val="21"/>
        </w:rPr>
        <w:t xml:space="preserve">the </w:t>
      </w:r>
      <w:r w:rsidRPr="003C2E68">
        <w:rPr>
          <w:rFonts w:ascii="Book Antiqua" w:hAnsi="Book Antiqua"/>
          <w:sz w:val="21"/>
        </w:rPr>
        <w:t>ventilation strategy</w:t>
      </w:r>
      <w:r w:rsidR="00304628" w:rsidRPr="003C2E68">
        <w:rPr>
          <w:rFonts w:ascii="Book Antiqua" w:hAnsi="Book Antiqua"/>
          <w:sz w:val="21"/>
        </w:rPr>
        <w:t xml:space="preserve"> guideline external noise constraints are proposed for ADF ventilation Systems 1 &amp; 2, System 3 and System 4.  A summary of potential level differences associated with the different ventilation Systems from ADF is provided in Table B-2, the level differen</w:t>
      </w:r>
      <w:r w:rsidR="00AF7388" w:rsidRPr="003C2E68">
        <w:rPr>
          <w:rFonts w:ascii="Book Antiqua" w:hAnsi="Book Antiqua"/>
          <w:sz w:val="21"/>
        </w:rPr>
        <w:t>ces equating to the external free-field noise level and the internal reverberant level</w:t>
      </w:r>
      <w:r w:rsidR="00304628" w:rsidRPr="003C2E68">
        <w:rPr>
          <w:rFonts w:ascii="Book Antiqua" w:hAnsi="Book Antiqua"/>
          <w:sz w:val="21"/>
        </w:rPr>
        <w:t>.</w:t>
      </w:r>
    </w:p>
    <w:p w:rsidR="00AF7388" w:rsidRPr="003C2E68" w:rsidRDefault="00AF7388" w:rsidP="00284052">
      <w:pPr>
        <w:spacing w:after="240"/>
        <w:ind w:right="-187"/>
        <w:rPr>
          <w:rFonts w:ascii="Book Antiqua" w:hAnsi="Book Antiqua"/>
          <w:sz w:val="21"/>
        </w:rPr>
      </w:pPr>
      <w:r w:rsidRPr="003C2E68">
        <w:rPr>
          <w:rFonts w:ascii="Book Antiqua" w:hAnsi="Book Antiqua"/>
          <w:sz w:val="21"/>
        </w:rPr>
        <w:t xml:space="preserve">The need to assess individual noise events (in contrast to average noise levels </w:t>
      </w:r>
      <w:r w:rsidR="00BA21FF" w:rsidRPr="003C2E68">
        <w:rPr>
          <w:rFonts w:ascii="Book Antiqua" w:hAnsi="Book Antiqua"/>
          <w:sz w:val="21"/>
        </w:rPr>
        <w:t xml:space="preserve">expressed in terms of dB </w:t>
      </w:r>
      <w:proofErr w:type="spellStart"/>
      <w:r w:rsidR="00BA21FF" w:rsidRPr="003C2E68">
        <w:rPr>
          <w:rFonts w:ascii="Book Antiqua" w:hAnsi="Book Antiqua"/>
          <w:sz w:val="21"/>
        </w:rPr>
        <w:t>L</w:t>
      </w:r>
      <w:r w:rsidR="00BA21FF" w:rsidRPr="003C2E68">
        <w:rPr>
          <w:rFonts w:ascii="Book Antiqua" w:hAnsi="Book Antiqua"/>
          <w:sz w:val="17"/>
        </w:rPr>
        <w:t>Aeq</w:t>
      </w:r>
      <w:proofErr w:type="spellEnd"/>
      <w:r w:rsidRPr="003C2E68">
        <w:rPr>
          <w:rFonts w:ascii="Book Antiqua" w:hAnsi="Book Antiqua"/>
          <w:sz w:val="21"/>
        </w:rPr>
        <w:t>) is also discussed.</w:t>
      </w:r>
    </w:p>
    <w:p w:rsidR="00304628" w:rsidRPr="003C2E68" w:rsidRDefault="00AF7388" w:rsidP="00284052">
      <w:pPr>
        <w:spacing w:after="240"/>
        <w:ind w:right="-187"/>
        <w:rPr>
          <w:rFonts w:ascii="Book Antiqua" w:hAnsi="Book Antiqua"/>
          <w:sz w:val="21"/>
        </w:rPr>
      </w:pPr>
      <w:r w:rsidRPr="003C2E68">
        <w:rPr>
          <w:rFonts w:ascii="Book Antiqua" w:hAnsi="Book Antiqua"/>
          <w:sz w:val="21"/>
        </w:rPr>
        <w:t xml:space="preserve">Table B-3 provides a summary of </w:t>
      </w:r>
      <w:r w:rsidR="00BA21FF" w:rsidRPr="003C2E68">
        <w:rPr>
          <w:rFonts w:ascii="Book Antiqua" w:hAnsi="Book Antiqua"/>
          <w:sz w:val="21"/>
        </w:rPr>
        <w:t xml:space="preserve">the </w:t>
      </w:r>
      <w:r w:rsidRPr="003C2E68">
        <w:rPr>
          <w:rFonts w:ascii="Book Antiqua" w:hAnsi="Book Antiqua"/>
          <w:sz w:val="21"/>
        </w:rPr>
        <w:t>potential noise issues associated with ventilation strategies described in ADF.</w:t>
      </w:r>
    </w:p>
    <w:p w:rsidR="00BA21FF" w:rsidRPr="003C2E68" w:rsidRDefault="00BA21FF" w:rsidP="00BA21FF">
      <w:pPr>
        <w:spacing w:after="240"/>
        <w:ind w:right="-187"/>
        <w:rPr>
          <w:rFonts w:ascii="Book Antiqua" w:hAnsi="Book Antiqua"/>
          <w:sz w:val="21"/>
        </w:rPr>
      </w:pPr>
      <w:r w:rsidRPr="003C2E68">
        <w:rPr>
          <w:rFonts w:ascii="Book Antiqua" w:hAnsi="Book Antiqua"/>
          <w:sz w:val="21"/>
        </w:rPr>
        <w:t>Table B-4 provides a summary of the potential noise issues associated with various cooling strategy that may be required in order to control overheating.</w:t>
      </w:r>
    </w:p>
    <w:p w:rsidR="00AF7388" w:rsidRPr="003C2E68" w:rsidRDefault="004F23BE" w:rsidP="00284052">
      <w:pPr>
        <w:spacing w:after="240"/>
        <w:ind w:right="-187"/>
        <w:rPr>
          <w:rFonts w:ascii="Book Antiqua" w:hAnsi="Book Antiqua"/>
          <w:sz w:val="21"/>
        </w:rPr>
      </w:pPr>
      <w:r w:rsidRPr="003C2E68">
        <w:rPr>
          <w:rFonts w:ascii="Book Antiqua" w:hAnsi="Book Antiqua"/>
          <w:sz w:val="21"/>
        </w:rPr>
        <w:t>Table B-5 includes a number of examples of passive ventilation solutions that can provide enhanced levels of sound insulation.</w:t>
      </w:r>
    </w:p>
    <w:p w:rsidR="00DD224C" w:rsidRPr="003C2E68" w:rsidRDefault="004F23BE" w:rsidP="00284052">
      <w:pPr>
        <w:spacing w:after="240"/>
        <w:ind w:right="-187"/>
        <w:rPr>
          <w:rFonts w:ascii="Book Antiqua" w:hAnsi="Book Antiqua"/>
          <w:sz w:val="21"/>
        </w:rPr>
      </w:pPr>
      <w:r w:rsidRPr="003C2E68">
        <w:rPr>
          <w:rFonts w:ascii="Book Antiqua" w:hAnsi="Book Antiqua"/>
          <w:sz w:val="21"/>
        </w:rPr>
        <w:t xml:space="preserve">The Guide than goes on to </w:t>
      </w:r>
      <w:r w:rsidR="00DD224C" w:rsidRPr="003C2E68">
        <w:rPr>
          <w:rFonts w:ascii="Book Antiqua" w:hAnsi="Book Antiqua"/>
          <w:sz w:val="21"/>
        </w:rPr>
        <w:t>recommend:</w:t>
      </w:r>
    </w:p>
    <w:p w:rsidR="00DD224C" w:rsidRPr="003C2E68" w:rsidRDefault="00DD224C" w:rsidP="00DD224C">
      <w:pPr>
        <w:pStyle w:val="ListParagraph"/>
        <w:numPr>
          <w:ilvl w:val="0"/>
          <w:numId w:val="28"/>
        </w:numPr>
        <w:spacing w:after="240"/>
        <w:ind w:left="714" w:right="-187" w:hanging="357"/>
        <w:contextualSpacing w:val="0"/>
        <w:rPr>
          <w:rFonts w:ascii="Book Antiqua" w:hAnsi="Book Antiqua"/>
          <w:sz w:val="21"/>
        </w:rPr>
      </w:pPr>
      <w:r w:rsidRPr="003C2E68">
        <w:rPr>
          <w:rFonts w:ascii="Book Antiqua" w:hAnsi="Book Antiqua"/>
          <w:sz w:val="21"/>
        </w:rPr>
        <w:t>the items of information that</w:t>
      </w:r>
      <w:r w:rsidR="00284052" w:rsidRPr="003C2E68">
        <w:rPr>
          <w:rFonts w:ascii="Book Antiqua" w:hAnsi="Book Antiqua"/>
          <w:sz w:val="21"/>
        </w:rPr>
        <w:t xml:space="preserve"> </w:t>
      </w:r>
      <w:r w:rsidRPr="003C2E68">
        <w:rPr>
          <w:rFonts w:ascii="Book Antiqua" w:hAnsi="Book Antiqua"/>
          <w:sz w:val="21"/>
        </w:rPr>
        <w:t>may be considered appropriate for submission to local planning authorities in connection</w:t>
      </w:r>
      <w:r w:rsidR="00284052" w:rsidRPr="003C2E68">
        <w:rPr>
          <w:rFonts w:ascii="Book Antiqua" w:hAnsi="Book Antiqua"/>
          <w:sz w:val="21"/>
        </w:rPr>
        <w:t xml:space="preserve"> with planning applications</w:t>
      </w:r>
      <w:r w:rsidRPr="003C2E68">
        <w:rPr>
          <w:rFonts w:ascii="Book Antiqua" w:hAnsi="Book Antiqua"/>
          <w:sz w:val="21"/>
        </w:rPr>
        <w:t>; and</w:t>
      </w:r>
    </w:p>
    <w:p w:rsidR="00284052" w:rsidRPr="003C2E68" w:rsidRDefault="00DD224C" w:rsidP="00DD224C">
      <w:pPr>
        <w:pStyle w:val="ListParagraph"/>
        <w:numPr>
          <w:ilvl w:val="0"/>
          <w:numId w:val="28"/>
        </w:numPr>
        <w:spacing w:after="240"/>
        <w:ind w:right="-187"/>
        <w:contextualSpacing w:val="0"/>
        <w:rPr>
          <w:rFonts w:ascii="Book Antiqua" w:hAnsi="Book Antiqua"/>
          <w:sz w:val="21"/>
        </w:rPr>
      </w:pPr>
      <w:proofErr w:type="gramStart"/>
      <w:r w:rsidRPr="003C2E68">
        <w:rPr>
          <w:rFonts w:ascii="Book Antiqua" w:hAnsi="Book Antiqua"/>
          <w:sz w:val="21"/>
        </w:rPr>
        <w:t>a</w:t>
      </w:r>
      <w:proofErr w:type="gramEnd"/>
      <w:r w:rsidRPr="003C2E68">
        <w:rPr>
          <w:rFonts w:ascii="Book Antiqua" w:hAnsi="Book Antiqua"/>
          <w:sz w:val="21"/>
        </w:rPr>
        <w:t xml:space="preserve"> schedule of </w:t>
      </w:r>
      <w:r w:rsidR="00495225" w:rsidRPr="003C2E68">
        <w:rPr>
          <w:rFonts w:ascii="Book Antiqua" w:hAnsi="Book Antiqua"/>
          <w:sz w:val="21"/>
        </w:rPr>
        <w:t xml:space="preserve">acoustic </w:t>
      </w:r>
      <w:r w:rsidRPr="003C2E68">
        <w:rPr>
          <w:rFonts w:ascii="Book Antiqua" w:hAnsi="Book Antiqua"/>
          <w:sz w:val="21"/>
        </w:rPr>
        <w:t>performance requirements that may be appropriate to include in any testing schedule that may be required</w:t>
      </w:r>
      <w:r w:rsidR="00284052" w:rsidRPr="003C2E68">
        <w:rPr>
          <w:rFonts w:ascii="Book Antiqua" w:hAnsi="Book Antiqua"/>
          <w:sz w:val="21"/>
        </w:rPr>
        <w:t>.</w:t>
      </w:r>
    </w:p>
    <w:p w:rsidR="00284052" w:rsidRPr="003C2E68" w:rsidRDefault="00507EE1" w:rsidP="00284052">
      <w:pPr>
        <w:spacing w:after="240"/>
        <w:ind w:right="-187"/>
        <w:rPr>
          <w:rFonts w:ascii="Book Antiqua" w:hAnsi="Book Antiqua"/>
          <w:sz w:val="21"/>
        </w:rPr>
      </w:pPr>
      <w:r w:rsidRPr="003C2E68">
        <w:rPr>
          <w:rFonts w:ascii="Book Antiqua" w:hAnsi="Book Antiqua"/>
          <w:sz w:val="21"/>
        </w:rPr>
        <w:t xml:space="preserve">The final section </w:t>
      </w:r>
      <w:r w:rsidR="00284052" w:rsidRPr="003C2E68">
        <w:rPr>
          <w:rFonts w:ascii="Book Antiqua" w:hAnsi="Book Antiqua"/>
          <w:sz w:val="21"/>
        </w:rPr>
        <w:t>of Appendix B consists of a worked example.</w:t>
      </w:r>
    </w:p>
    <w:p w:rsidR="00507EE1" w:rsidRPr="003C2E68" w:rsidRDefault="00507EE1" w:rsidP="00284052">
      <w:pPr>
        <w:spacing w:after="240"/>
        <w:ind w:right="-187"/>
        <w:rPr>
          <w:rFonts w:ascii="Book Antiqua" w:hAnsi="Book Antiqua"/>
          <w:sz w:val="21"/>
        </w:rPr>
      </w:pPr>
      <w:r w:rsidRPr="003C2E68">
        <w:rPr>
          <w:rFonts w:ascii="Book Antiqua" w:hAnsi="Book Antiqua"/>
          <w:sz w:val="21"/>
        </w:rPr>
        <w:t>Appendix C of the Guide is concerned with the</w:t>
      </w:r>
      <w:r w:rsidR="008A598D" w:rsidRPr="003C2E68">
        <w:rPr>
          <w:rFonts w:ascii="Book Antiqua" w:hAnsi="Book Antiqua"/>
          <w:sz w:val="21"/>
        </w:rPr>
        <w:t xml:space="preserve"> sound insulation provided by </w:t>
      </w:r>
      <w:r w:rsidRPr="003C2E68">
        <w:rPr>
          <w:rFonts w:ascii="Book Antiqua" w:hAnsi="Book Antiqua"/>
          <w:sz w:val="21"/>
        </w:rPr>
        <w:t>partially open windows, and discusses:</w:t>
      </w:r>
    </w:p>
    <w:p w:rsidR="00DA3C2E" w:rsidRPr="003C2E68" w:rsidRDefault="00507EE1" w:rsidP="00C20323">
      <w:pPr>
        <w:pStyle w:val="ListParagraph"/>
        <w:numPr>
          <w:ilvl w:val="0"/>
          <w:numId w:val="29"/>
        </w:numPr>
        <w:spacing w:after="240"/>
        <w:ind w:left="714" w:right="-187" w:hanging="357"/>
        <w:contextualSpacing w:val="0"/>
        <w:rPr>
          <w:rFonts w:ascii="Book Antiqua" w:hAnsi="Book Antiqua"/>
          <w:sz w:val="21"/>
        </w:rPr>
      </w:pPr>
      <w:r w:rsidRPr="003C2E68">
        <w:rPr>
          <w:rFonts w:ascii="Book Antiqua" w:hAnsi="Book Antiqua"/>
          <w:sz w:val="21"/>
        </w:rPr>
        <w:t>the results of a field study covering 102 dwelling</w:t>
      </w:r>
      <w:r w:rsidR="00C20323" w:rsidRPr="003C2E68">
        <w:rPr>
          <w:rFonts w:ascii="Book Antiqua" w:hAnsi="Book Antiqua"/>
          <w:sz w:val="21"/>
        </w:rPr>
        <w:t>s</w:t>
      </w:r>
      <w:r w:rsidRPr="003C2E68">
        <w:rPr>
          <w:rFonts w:ascii="Book Antiqua" w:hAnsi="Book Antiqua"/>
          <w:sz w:val="21"/>
        </w:rPr>
        <w:t xml:space="preserve"> in Switzerland that were affected by road traffic noise; and</w:t>
      </w:r>
    </w:p>
    <w:p w:rsidR="00507EE1" w:rsidRPr="003C2E68" w:rsidRDefault="00C20323" w:rsidP="00C20323">
      <w:pPr>
        <w:pStyle w:val="ListParagraph"/>
        <w:numPr>
          <w:ilvl w:val="0"/>
          <w:numId w:val="29"/>
        </w:numPr>
        <w:spacing w:after="240"/>
        <w:ind w:left="714" w:right="-187" w:hanging="357"/>
        <w:contextualSpacing w:val="0"/>
        <w:rPr>
          <w:rFonts w:ascii="Book Antiqua" w:hAnsi="Book Antiqua"/>
          <w:sz w:val="21"/>
        </w:rPr>
      </w:pPr>
      <w:proofErr w:type="gramStart"/>
      <w:r w:rsidRPr="003C2E68">
        <w:rPr>
          <w:rFonts w:ascii="Book Antiqua" w:hAnsi="Book Antiqua"/>
          <w:sz w:val="21"/>
        </w:rPr>
        <w:t>laboratory</w:t>
      </w:r>
      <w:proofErr w:type="gramEnd"/>
      <w:r w:rsidRPr="003C2E68">
        <w:rPr>
          <w:rFonts w:ascii="Book Antiqua" w:hAnsi="Book Antiqua"/>
          <w:sz w:val="21"/>
        </w:rPr>
        <w:t xml:space="preserve"> measurements made in the UK for 14 window types and arrangements with various degrees of opening.</w:t>
      </w:r>
    </w:p>
    <w:p w:rsidR="00507EE1" w:rsidRPr="003C2E68" w:rsidRDefault="00507EE1" w:rsidP="00284052">
      <w:pPr>
        <w:spacing w:after="240"/>
        <w:ind w:right="-187"/>
        <w:rPr>
          <w:rFonts w:ascii="Book Antiqua" w:hAnsi="Book Antiqua"/>
          <w:sz w:val="21"/>
        </w:rPr>
      </w:pPr>
    </w:p>
    <w:sectPr w:rsidR="00507EE1" w:rsidRPr="003C2E68">
      <w:headerReference w:type="even" r:id="rId9"/>
      <w:headerReference w:type="default" r:id="rId10"/>
      <w:footerReference w:type="even" r:id="rId11"/>
      <w:footerReference w:type="default" r:id="rId12"/>
      <w:headerReference w:type="first" r:id="rId13"/>
      <w:footerReference w:type="first" r:id="rId14"/>
      <w:pgSz w:w="11907" w:h="16840"/>
      <w:pgMar w:top="1440" w:right="8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98" w:rsidRDefault="00136898">
      <w:r>
        <w:separator/>
      </w:r>
    </w:p>
  </w:endnote>
  <w:endnote w:type="continuationSeparator" w:id="0">
    <w:p w:rsidR="00136898" w:rsidRDefault="0013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9B" w:rsidRDefault="00484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21" w:rsidRPr="0048479B" w:rsidRDefault="00812821" w:rsidP="0048479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9B" w:rsidRDefault="00484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98" w:rsidRDefault="00136898">
      <w:r>
        <w:separator/>
      </w:r>
    </w:p>
  </w:footnote>
  <w:footnote w:type="continuationSeparator" w:id="0">
    <w:p w:rsidR="00136898" w:rsidRDefault="0013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9B" w:rsidRDefault="00484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9B" w:rsidRDefault="00484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9B" w:rsidRDefault="00484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BAD"/>
    <w:multiLevelType w:val="hybridMultilevel"/>
    <w:tmpl w:val="821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64905"/>
    <w:multiLevelType w:val="hybridMultilevel"/>
    <w:tmpl w:val="2E9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526A3"/>
    <w:multiLevelType w:val="hybridMultilevel"/>
    <w:tmpl w:val="D49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C39DF"/>
    <w:multiLevelType w:val="hybridMultilevel"/>
    <w:tmpl w:val="B68E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32253"/>
    <w:multiLevelType w:val="singleLevel"/>
    <w:tmpl w:val="05F835E0"/>
    <w:lvl w:ilvl="0">
      <w:start w:val="1"/>
      <w:numFmt w:val="decimal"/>
      <w:lvlText w:val="%1"/>
      <w:lvlJc w:val="left"/>
      <w:pPr>
        <w:tabs>
          <w:tab w:val="num" w:pos="720"/>
        </w:tabs>
        <w:ind w:left="720" w:hanging="720"/>
      </w:pPr>
      <w:rPr>
        <w:rFonts w:hint="default"/>
      </w:rPr>
    </w:lvl>
  </w:abstractNum>
  <w:abstractNum w:abstractNumId="5">
    <w:nsid w:val="08100ADA"/>
    <w:multiLevelType w:val="hybridMultilevel"/>
    <w:tmpl w:val="0504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A2258"/>
    <w:multiLevelType w:val="hybridMultilevel"/>
    <w:tmpl w:val="6DD6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A2586"/>
    <w:multiLevelType w:val="hybridMultilevel"/>
    <w:tmpl w:val="7B9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F7805"/>
    <w:multiLevelType w:val="hybridMultilevel"/>
    <w:tmpl w:val="5B60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C2FC4"/>
    <w:multiLevelType w:val="hybridMultilevel"/>
    <w:tmpl w:val="7982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47168"/>
    <w:multiLevelType w:val="hybridMultilevel"/>
    <w:tmpl w:val="C5F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8643EE"/>
    <w:multiLevelType w:val="hybridMultilevel"/>
    <w:tmpl w:val="9C20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4EFA"/>
    <w:multiLevelType w:val="hybridMultilevel"/>
    <w:tmpl w:val="242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9740B7"/>
    <w:multiLevelType w:val="hybridMultilevel"/>
    <w:tmpl w:val="B85C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36998"/>
    <w:multiLevelType w:val="hybridMultilevel"/>
    <w:tmpl w:val="5FE4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62AD2"/>
    <w:multiLevelType w:val="hybridMultilevel"/>
    <w:tmpl w:val="C97C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42480"/>
    <w:multiLevelType w:val="hybridMultilevel"/>
    <w:tmpl w:val="EE1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4A1911"/>
    <w:multiLevelType w:val="hybridMultilevel"/>
    <w:tmpl w:val="882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EE6346"/>
    <w:multiLevelType w:val="hybridMultilevel"/>
    <w:tmpl w:val="6132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C75CE"/>
    <w:multiLevelType w:val="hybridMultilevel"/>
    <w:tmpl w:val="402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B7912"/>
    <w:multiLevelType w:val="hybridMultilevel"/>
    <w:tmpl w:val="08724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F876F8"/>
    <w:multiLevelType w:val="hybridMultilevel"/>
    <w:tmpl w:val="A8A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A7600"/>
    <w:multiLevelType w:val="hybridMultilevel"/>
    <w:tmpl w:val="6876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5076B"/>
    <w:multiLevelType w:val="hybridMultilevel"/>
    <w:tmpl w:val="A774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1B5EC6"/>
    <w:multiLevelType w:val="hybridMultilevel"/>
    <w:tmpl w:val="A4AA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3F27F2"/>
    <w:multiLevelType w:val="hybridMultilevel"/>
    <w:tmpl w:val="60F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30C2D"/>
    <w:multiLevelType w:val="hybridMultilevel"/>
    <w:tmpl w:val="A6F69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73C5DDD"/>
    <w:multiLevelType w:val="hybridMultilevel"/>
    <w:tmpl w:val="524E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64EC6"/>
    <w:multiLevelType w:val="hybridMultilevel"/>
    <w:tmpl w:val="9D9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5D445D"/>
    <w:multiLevelType w:val="hybridMultilevel"/>
    <w:tmpl w:val="B7E2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210D7"/>
    <w:multiLevelType w:val="hybridMultilevel"/>
    <w:tmpl w:val="6F00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936D4"/>
    <w:multiLevelType w:val="hybridMultilevel"/>
    <w:tmpl w:val="249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D311F"/>
    <w:multiLevelType w:val="hybridMultilevel"/>
    <w:tmpl w:val="7E6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183C2B"/>
    <w:multiLevelType w:val="hybridMultilevel"/>
    <w:tmpl w:val="D6924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520078"/>
    <w:multiLevelType w:val="hybridMultilevel"/>
    <w:tmpl w:val="6958F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BC5EE7"/>
    <w:multiLevelType w:val="hybridMultilevel"/>
    <w:tmpl w:val="FCB6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1C114F"/>
    <w:multiLevelType w:val="hybridMultilevel"/>
    <w:tmpl w:val="91A0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392387"/>
    <w:multiLevelType w:val="hybridMultilevel"/>
    <w:tmpl w:val="5C12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92F1B"/>
    <w:multiLevelType w:val="hybridMultilevel"/>
    <w:tmpl w:val="C21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2"/>
  </w:num>
  <w:num w:numId="5">
    <w:abstractNumId w:val="15"/>
  </w:num>
  <w:num w:numId="6">
    <w:abstractNumId w:val="1"/>
  </w:num>
  <w:num w:numId="7">
    <w:abstractNumId w:val="29"/>
  </w:num>
  <w:num w:numId="8">
    <w:abstractNumId w:val="17"/>
  </w:num>
  <w:num w:numId="9">
    <w:abstractNumId w:val="6"/>
  </w:num>
  <w:num w:numId="10">
    <w:abstractNumId w:val="21"/>
  </w:num>
  <w:num w:numId="11">
    <w:abstractNumId w:val="24"/>
  </w:num>
  <w:num w:numId="12">
    <w:abstractNumId w:val="31"/>
  </w:num>
  <w:num w:numId="13">
    <w:abstractNumId w:val="11"/>
  </w:num>
  <w:num w:numId="14">
    <w:abstractNumId w:val="26"/>
  </w:num>
  <w:num w:numId="15">
    <w:abstractNumId w:val="33"/>
  </w:num>
  <w:num w:numId="16">
    <w:abstractNumId w:val="18"/>
  </w:num>
  <w:num w:numId="17">
    <w:abstractNumId w:val="0"/>
  </w:num>
  <w:num w:numId="18">
    <w:abstractNumId w:val="32"/>
  </w:num>
  <w:num w:numId="19">
    <w:abstractNumId w:val="8"/>
  </w:num>
  <w:num w:numId="20">
    <w:abstractNumId w:val="25"/>
  </w:num>
  <w:num w:numId="21">
    <w:abstractNumId w:val="35"/>
  </w:num>
  <w:num w:numId="22">
    <w:abstractNumId w:val="2"/>
  </w:num>
  <w:num w:numId="23">
    <w:abstractNumId w:val="38"/>
  </w:num>
  <w:num w:numId="24">
    <w:abstractNumId w:val="34"/>
  </w:num>
  <w:num w:numId="25">
    <w:abstractNumId w:val="23"/>
  </w:num>
  <w:num w:numId="26">
    <w:abstractNumId w:val="30"/>
  </w:num>
  <w:num w:numId="27">
    <w:abstractNumId w:val="37"/>
  </w:num>
  <w:num w:numId="28">
    <w:abstractNumId w:val="14"/>
  </w:num>
  <w:num w:numId="29">
    <w:abstractNumId w:val="13"/>
  </w:num>
  <w:num w:numId="30">
    <w:abstractNumId w:val="27"/>
  </w:num>
  <w:num w:numId="31">
    <w:abstractNumId w:val="28"/>
  </w:num>
  <w:num w:numId="32">
    <w:abstractNumId w:val="10"/>
  </w:num>
  <w:num w:numId="33">
    <w:abstractNumId w:val="7"/>
  </w:num>
  <w:num w:numId="34">
    <w:abstractNumId w:val="16"/>
  </w:num>
  <w:num w:numId="35">
    <w:abstractNumId w:val="3"/>
  </w:num>
  <w:num w:numId="36">
    <w:abstractNumId w:val="5"/>
  </w:num>
  <w:num w:numId="37">
    <w:abstractNumId w:val="22"/>
  </w:num>
  <w:num w:numId="38">
    <w:abstractNumId w:val="36"/>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86"/>
    <w:rsid w:val="00000F48"/>
    <w:rsid w:val="000013C3"/>
    <w:rsid w:val="0000173C"/>
    <w:rsid w:val="00001F8B"/>
    <w:rsid w:val="000027E4"/>
    <w:rsid w:val="00002C3B"/>
    <w:rsid w:val="000040FB"/>
    <w:rsid w:val="000044FB"/>
    <w:rsid w:val="0000453D"/>
    <w:rsid w:val="00004E0B"/>
    <w:rsid w:val="00005367"/>
    <w:rsid w:val="00005CA8"/>
    <w:rsid w:val="000061C5"/>
    <w:rsid w:val="000073F9"/>
    <w:rsid w:val="00007897"/>
    <w:rsid w:val="00011E74"/>
    <w:rsid w:val="000138D8"/>
    <w:rsid w:val="00014C1F"/>
    <w:rsid w:val="00015136"/>
    <w:rsid w:val="0001578E"/>
    <w:rsid w:val="00015E06"/>
    <w:rsid w:val="00016796"/>
    <w:rsid w:val="00016CFC"/>
    <w:rsid w:val="00016EA7"/>
    <w:rsid w:val="000172DD"/>
    <w:rsid w:val="00017AF0"/>
    <w:rsid w:val="00017D00"/>
    <w:rsid w:val="00017D6C"/>
    <w:rsid w:val="00020263"/>
    <w:rsid w:val="00020BFE"/>
    <w:rsid w:val="00020CBE"/>
    <w:rsid w:val="000210C8"/>
    <w:rsid w:val="00021317"/>
    <w:rsid w:val="000220A1"/>
    <w:rsid w:val="0002216F"/>
    <w:rsid w:val="000224FA"/>
    <w:rsid w:val="00022EC8"/>
    <w:rsid w:val="00023389"/>
    <w:rsid w:val="000238F6"/>
    <w:rsid w:val="00023B24"/>
    <w:rsid w:val="0002458A"/>
    <w:rsid w:val="0002494A"/>
    <w:rsid w:val="00024F92"/>
    <w:rsid w:val="000255AD"/>
    <w:rsid w:val="000262B9"/>
    <w:rsid w:val="00026A5F"/>
    <w:rsid w:val="000275E7"/>
    <w:rsid w:val="00027653"/>
    <w:rsid w:val="00027B56"/>
    <w:rsid w:val="00027E3C"/>
    <w:rsid w:val="0003115E"/>
    <w:rsid w:val="00031CF4"/>
    <w:rsid w:val="0003235E"/>
    <w:rsid w:val="00032438"/>
    <w:rsid w:val="000326FB"/>
    <w:rsid w:val="00032C96"/>
    <w:rsid w:val="000346F0"/>
    <w:rsid w:val="000347E5"/>
    <w:rsid w:val="00035D57"/>
    <w:rsid w:val="0003673D"/>
    <w:rsid w:val="00036A6F"/>
    <w:rsid w:val="00036EF2"/>
    <w:rsid w:val="00036F20"/>
    <w:rsid w:val="0003709D"/>
    <w:rsid w:val="000376F5"/>
    <w:rsid w:val="000379FE"/>
    <w:rsid w:val="00041590"/>
    <w:rsid w:val="00041A63"/>
    <w:rsid w:val="000420C5"/>
    <w:rsid w:val="00042B19"/>
    <w:rsid w:val="0004344B"/>
    <w:rsid w:val="0004378D"/>
    <w:rsid w:val="00044089"/>
    <w:rsid w:val="00044201"/>
    <w:rsid w:val="00044667"/>
    <w:rsid w:val="00044F34"/>
    <w:rsid w:val="00044F3B"/>
    <w:rsid w:val="00046152"/>
    <w:rsid w:val="00046271"/>
    <w:rsid w:val="00046D0C"/>
    <w:rsid w:val="00047420"/>
    <w:rsid w:val="00047AD2"/>
    <w:rsid w:val="00050213"/>
    <w:rsid w:val="000513E0"/>
    <w:rsid w:val="00051742"/>
    <w:rsid w:val="00051BCB"/>
    <w:rsid w:val="00052116"/>
    <w:rsid w:val="00052906"/>
    <w:rsid w:val="00053314"/>
    <w:rsid w:val="00054041"/>
    <w:rsid w:val="00054748"/>
    <w:rsid w:val="000548BB"/>
    <w:rsid w:val="00054A3B"/>
    <w:rsid w:val="00054CD0"/>
    <w:rsid w:val="00054FDC"/>
    <w:rsid w:val="00055343"/>
    <w:rsid w:val="00056210"/>
    <w:rsid w:val="00056FDE"/>
    <w:rsid w:val="0005731C"/>
    <w:rsid w:val="0005737A"/>
    <w:rsid w:val="0005773A"/>
    <w:rsid w:val="0006015B"/>
    <w:rsid w:val="00060EA4"/>
    <w:rsid w:val="00061117"/>
    <w:rsid w:val="00061E67"/>
    <w:rsid w:val="00062E3A"/>
    <w:rsid w:val="000632D7"/>
    <w:rsid w:val="0006371D"/>
    <w:rsid w:val="00063924"/>
    <w:rsid w:val="00064309"/>
    <w:rsid w:val="0006435C"/>
    <w:rsid w:val="00064C56"/>
    <w:rsid w:val="00065197"/>
    <w:rsid w:val="0006525C"/>
    <w:rsid w:val="00065595"/>
    <w:rsid w:val="00065AE9"/>
    <w:rsid w:val="0006764C"/>
    <w:rsid w:val="000715E1"/>
    <w:rsid w:val="00071A56"/>
    <w:rsid w:val="00071E16"/>
    <w:rsid w:val="00072865"/>
    <w:rsid w:val="00072924"/>
    <w:rsid w:val="00072C23"/>
    <w:rsid w:val="00073CD1"/>
    <w:rsid w:val="00073CFD"/>
    <w:rsid w:val="000743C5"/>
    <w:rsid w:val="00074DC9"/>
    <w:rsid w:val="00075C21"/>
    <w:rsid w:val="000760EA"/>
    <w:rsid w:val="00076B44"/>
    <w:rsid w:val="000771F3"/>
    <w:rsid w:val="00077515"/>
    <w:rsid w:val="0008037D"/>
    <w:rsid w:val="000806DF"/>
    <w:rsid w:val="00082C5B"/>
    <w:rsid w:val="00082F83"/>
    <w:rsid w:val="00083298"/>
    <w:rsid w:val="000840F2"/>
    <w:rsid w:val="00085DB7"/>
    <w:rsid w:val="0008674E"/>
    <w:rsid w:val="000867C5"/>
    <w:rsid w:val="00086FA2"/>
    <w:rsid w:val="000871AC"/>
    <w:rsid w:val="000872D6"/>
    <w:rsid w:val="00087D29"/>
    <w:rsid w:val="00091918"/>
    <w:rsid w:val="00091AB7"/>
    <w:rsid w:val="00091C9C"/>
    <w:rsid w:val="00091D08"/>
    <w:rsid w:val="000921DF"/>
    <w:rsid w:val="00092677"/>
    <w:rsid w:val="00092D7F"/>
    <w:rsid w:val="00092F20"/>
    <w:rsid w:val="00094379"/>
    <w:rsid w:val="0009473F"/>
    <w:rsid w:val="00095836"/>
    <w:rsid w:val="00096AC3"/>
    <w:rsid w:val="000A04C3"/>
    <w:rsid w:val="000A1FF7"/>
    <w:rsid w:val="000A221F"/>
    <w:rsid w:val="000A2E56"/>
    <w:rsid w:val="000A3640"/>
    <w:rsid w:val="000A3E53"/>
    <w:rsid w:val="000A43B2"/>
    <w:rsid w:val="000A4E9F"/>
    <w:rsid w:val="000A5029"/>
    <w:rsid w:val="000A7002"/>
    <w:rsid w:val="000A770B"/>
    <w:rsid w:val="000A77E1"/>
    <w:rsid w:val="000A79DF"/>
    <w:rsid w:val="000A7F0C"/>
    <w:rsid w:val="000B06BF"/>
    <w:rsid w:val="000B0ABB"/>
    <w:rsid w:val="000B10D4"/>
    <w:rsid w:val="000B11AC"/>
    <w:rsid w:val="000B2BA8"/>
    <w:rsid w:val="000B3155"/>
    <w:rsid w:val="000B42F5"/>
    <w:rsid w:val="000B4D0F"/>
    <w:rsid w:val="000B4E2C"/>
    <w:rsid w:val="000B503B"/>
    <w:rsid w:val="000B545B"/>
    <w:rsid w:val="000B72D5"/>
    <w:rsid w:val="000C12C7"/>
    <w:rsid w:val="000C23FC"/>
    <w:rsid w:val="000C4869"/>
    <w:rsid w:val="000C50A6"/>
    <w:rsid w:val="000C5853"/>
    <w:rsid w:val="000C5AA8"/>
    <w:rsid w:val="000C62EF"/>
    <w:rsid w:val="000C6752"/>
    <w:rsid w:val="000C7950"/>
    <w:rsid w:val="000D1B56"/>
    <w:rsid w:val="000D1E27"/>
    <w:rsid w:val="000D2BC9"/>
    <w:rsid w:val="000D3063"/>
    <w:rsid w:val="000D3798"/>
    <w:rsid w:val="000D42D2"/>
    <w:rsid w:val="000D49B6"/>
    <w:rsid w:val="000D4C28"/>
    <w:rsid w:val="000D4F22"/>
    <w:rsid w:val="000D5A44"/>
    <w:rsid w:val="000D624C"/>
    <w:rsid w:val="000D7647"/>
    <w:rsid w:val="000E06B7"/>
    <w:rsid w:val="000E0C35"/>
    <w:rsid w:val="000E172D"/>
    <w:rsid w:val="000E1CA7"/>
    <w:rsid w:val="000E29D4"/>
    <w:rsid w:val="000E2B50"/>
    <w:rsid w:val="000E30F4"/>
    <w:rsid w:val="000E3294"/>
    <w:rsid w:val="000E340B"/>
    <w:rsid w:val="000E3618"/>
    <w:rsid w:val="000E3D1E"/>
    <w:rsid w:val="000E3EFF"/>
    <w:rsid w:val="000E4907"/>
    <w:rsid w:val="000E5C3A"/>
    <w:rsid w:val="000E5D2A"/>
    <w:rsid w:val="000E7691"/>
    <w:rsid w:val="000E7C54"/>
    <w:rsid w:val="000F0AA2"/>
    <w:rsid w:val="000F10C7"/>
    <w:rsid w:val="000F2424"/>
    <w:rsid w:val="000F2CCB"/>
    <w:rsid w:val="000F392D"/>
    <w:rsid w:val="000F3CB2"/>
    <w:rsid w:val="000F3D2A"/>
    <w:rsid w:val="000F4643"/>
    <w:rsid w:val="000F479B"/>
    <w:rsid w:val="000F4ADB"/>
    <w:rsid w:val="000F4F38"/>
    <w:rsid w:val="000F5634"/>
    <w:rsid w:val="000F642C"/>
    <w:rsid w:val="000F7028"/>
    <w:rsid w:val="000F7453"/>
    <w:rsid w:val="000F78FC"/>
    <w:rsid w:val="000F7B1E"/>
    <w:rsid w:val="000F7B42"/>
    <w:rsid w:val="00100852"/>
    <w:rsid w:val="00100A62"/>
    <w:rsid w:val="00100F4E"/>
    <w:rsid w:val="00101BDC"/>
    <w:rsid w:val="00101C1D"/>
    <w:rsid w:val="00101E81"/>
    <w:rsid w:val="00101FE3"/>
    <w:rsid w:val="00102A5A"/>
    <w:rsid w:val="00102F01"/>
    <w:rsid w:val="00103F4E"/>
    <w:rsid w:val="00104DCA"/>
    <w:rsid w:val="00105658"/>
    <w:rsid w:val="0010652C"/>
    <w:rsid w:val="00106640"/>
    <w:rsid w:val="00106B41"/>
    <w:rsid w:val="00106B7B"/>
    <w:rsid w:val="00106E82"/>
    <w:rsid w:val="001078B8"/>
    <w:rsid w:val="00107972"/>
    <w:rsid w:val="00107ADF"/>
    <w:rsid w:val="00110383"/>
    <w:rsid w:val="0011095E"/>
    <w:rsid w:val="00111555"/>
    <w:rsid w:val="0011181B"/>
    <w:rsid w:val="001119F6"/>
    <w:rsid w:val="00113657"/>
    <w:rsid w:val="001141E9"/>
    <w:rsid w:val="001160C7"/>
    <w:rsid w:val="0011695D"/>
    <w:rsid w:val="00117E64"/>
    <w:rsid w:val="00117F05"/>
    <w:rsid w:val="00120CB2"/>
    <w:rsid w:val="00121812"/>
    <w:rsid w:val="00122ACC"/>
    <w:rsid w:val="001235C7"/>
    <w:rsid w:val="001241A7"/>
    <w:rsid w:val="00124F1B"/>
    <w:rsid w:val="001262EE"/>
    <w:rsid w:val="00126A9C"/>
    <w:rsid w:val="001270D8"/>
    <w:rsid w:val="00127582"/>
    <w:rsid w:val="00127617"/>
    <w:rsid w:val="00127CBF"/>
    <w:rsid w:val="0013094A"/>
    <w:rsid w:val="00130A77"/>
    <w:rsid w:val="00130F2C"/>
    <w:rsid w:val="00131A8E"/>
    <w:rsid w:val="00131AC9"/>
    <w:rsid w:val="00132629"/>
    <w:rsid w:val="0013265A"/>
    <w:rsid w:val="00132786"/>
    <w:rsid w:val="0013346B"/>
    <w:rsid w:val="00133CED"/>
    <w:rsid w:val="00134F2C"/>
    <w:rsid w:val="00135825"/>
    <w:rsid w:val="001361BD"/>
    <w:rsid w:val="00136898"/>
    <w:rsid w:val="00136C2A"/>
    <w:rsid w:val="00136E72"/>
    <w:rsid w:val="00136F2D"/>
    <w:rsid w:val="0014059F"/>
    <w:rsid w:val="00140950"/>
    <w:rsid w:val="00140D03"/>
    <w:rsid w:val="0014134D"/>
    <w:rsid w:val="00141916"/>
    <w:rsid w:val="001426AC"/>
    <w:rsid w:val="0014277F"/>
    <w:rsid w:val="00142978"/>
    <w:rsid w:val="0014492A"/>
    <w:rsid w:val="001452C6"/>
    <w:rsid w:val="001463EC"/>
    <w:rsid w:val="00146897"/>
    <w:rsid w:val="001468A6"/>
    <w:rsid w:val="0014724B"/>
    <w:rsid w:val="00147572"/>
    <w:rsid w:val="0015138E"/>
    <w:rsid w:val="00151A0B"/>
    <w:rsid w:val="00151B56"/>
    <w:rsid w:val="00151C2D"/>
    <w:rsid w:val="00152BBB"/>
    <w:rsid w:val="0015343B"/>
    <w:rsid w:val="001536DE"/>
    <w:rsid w:val="00154A4E"/>
    <w:rsid w:val="00154DF0"/>
    <w:rsid w:val="00155154"/>
    <w:rsid w:val="001555BA"/>
    <w:rsid w:val="00155AFB"/>
    <w:rsid w:val="0015696C"/>
    <w:rsid w:val="00156F58"/>
    <w:rsid w:val="001570EE"/>
    <w:rsid w:val="001600ED"/>
    <w:rsid w:val="001603EC"/>
    <w:rsid w:val="0016121C"/>
    <w:rsid w:val="00161707"/>
    <w:rsid w:val="00161E70"/>
    <w:rsid w:val="001620BC"/>
    <w:rsid w:val="00162E85"/>
    <w:rsid w:val="00162F1F"/>
    <w:rsid w:val="00162F20"/>
    <w:rsid w:val="001630E4"/>
    <w:rsid w:val="001633F4"/>
    <w:rsid w:val="00163B79"/>
    <w:rsid w:val="001641D0"/>
    <w:rsid w:val="00164E11"/>
    <w:rsid w:val="001653F0"/>
    <w:rsid w:val="0016584F"/>
    <w:rsid w:val="00166C04"/>
    <w:rsid w:val="00166DB7"/>
    <w:rsid w:val="00167A04"/>
    <w:rsid w:val="0017151D"/>
    <w:rsid w:val="001719BE"/>
    <w:rsid w:val="00171B6E"/>
    <w:rsid w:val="00171DFA"/>
    <w:rsid w:val="00172009"/>
    <w:rsid w:val="00172A39"/>
    <w:rsid w:val="00173691"/>
    <w:rsid w:val="0017418E"/>
    <w:rsid w:val="00175B78"/>
    <w:rsid w:val="00176367"/>
    <w:rsid w:val="0017706E"/>
    <w:rsid w:val="001770A2"/>
    <w:rsid w:val="00177D5A"/>
    <w:rsid w:val="00177EB2"/>
    <w:rsid w:val="00180410"/>
    <w:rsid w:val="0018197E"/>
    <w:rsid w:val="00182346"/>
    <w:rsid w:val="0018239A"/>
    <w:rsid w:val="00182911"/>
    <w:rsid w:val="001831D6"/>
    <w:rsid w:val="00183269"/>
    <w:rsid w:val="001845EC"/>
    <w:rsid w:val="00185E8E"/>
    <w:rsid w:val="001869BC"/>
    <w:rsid w:val="00186ACF"/>
    <w:rsid w:val="00186C9D"/>
    <w:rsid w:val="001877C7"/>
    <w:rsid w:val="00187D07"/>
    <w:rsid w:val="001902AA"/>
    <w:rsid w:val="0019133B"/>
    <w:rsid w:val="0019165D"/>
    <w:rsid w:val="00191805"/>
    <w:rsid w:val="00191CD4"/>
    <w:rsid w:val="001920C8"/>
    <w:rsid w:val="00193AE8"/>
    <w:rsid w:val="00193E49"/>
    <w:rsid w:val="00193F3C"/>
    <w:rsid w:val="001941EB"/>
    <w:rsid w:val="001948AF"/>
    <w:rsid w:val="001949FE"/>
    <w:rsid w:val="00195022"/>
    <w:rsid w:val="001957CA"/>
    <w:rsid w:val="00195971"/>
    <w:rsid w:val="00196024"/>
    <w:rsid w:val="0019665A"/>
    <w:rsid w:val="001977D7"/>
    <w:rsid w:val="00197CE6"/>
    <w:rsid w:val="00197EB7"/>
    <w:rsid w:val="001A1453"/>
    <w:rsid w:val="001A1B76"/>
    <w:rsid w:val="001A2043"/>
    <w:rsid w:val="001A328B"/>
    <w:rsid w:val="001A32E6"/>
    <w:rsid w:val="001A44DD"/>
    <w:rsid w:val="001A5708"/>
    <w:rsid w:val="001A5A52"/>
    <w:rsid w:val="001A5A6A"/>
    <w:rsid w:val="001A666E"/>
    <w:rsid w:val="001A7B06"/>
    <w:rsid w:val="001B0661"/>
    <w:rsid w:val="001B14A7"/>
    <w:rsid w:val="001B1985"/>
    <w:rsid w:val="001B2156"/>
    <w:rsid w:val="001B2A71"/>
    <w:rsid w:val="001B4221"/>
    <w:rsid w:val="001B45A5"/>
    <w:rsid w:val="001B4B79"/>
    <w:rsid w:val="001B4FE9"/>
    <w:rsid w:val="001B6097"/>
    <w:rsid w:val="001B6430"/>
    <w:rsid w:val="001B6BD3"/>
    <w:rsid w:val="001B6D00"/>
    <w:rsid w:val="001C2450"/>
    <w:rsid w:val="001C2C9F"/>
    <w:rsid w:val="001C33FE"/>
    <w:rsid w:val="001C591B"/>
    <w:rsid w:val="001C5DBB"/>
    <w:rsid w:val="001C6140"/>
    <w:rsid w:val="001C6D3F"/>
    <w:rsid w:val="001C6F74"/>
    <w:rsid w:val="001D0183"/>
    <w:rsid w:val="001D0D66"/>
    <w:rsid w:val="001D1953"/>
    <w:rsid w:val="001D32D2"/>
    <w:rsid w:val="001D35BA"/>
    <w:rsid w:val="001D46E6"/>
    <w:rsid w:val="001D4EA0"/>
    <w:rsid w:val="001D52E3"/>
    <w:rsid w:val="001D681B"/>
    <w:rsid w:val="001E0560"/>
    <w:rsid w:val="001E0598"/>
    <w:rsid w:val="001E07BE"/>
    <w:rsid w:val="001E164B"/>
    <w:rsid w:val="001E1A63"/>
    <w:rsid w:val="001E2267"/>
    <w:rsid w:val="001E3528"/>
    <w:rsid w:val="001E37CC"/>
    <w:rsid w:val="001E38ED"/>
    <w:rsid w:val="001E3C08"/>
    <w:rsid w:val="001E4571"/>
    <w:rsid w:val="001E4C52"/>
    <w:rsid w:val="001E4E13"/>
    <w:rsid w:val="001E631C"/>
    <w:rsid w:val="001E7DA3"/>
    <w:rsid w:val="001F08CA"/>
    <w:rsid w:val="001F1025"/>
    <w:rsid w:val="001F1146"/>
    <w:rsid w:val="001F15EF"/>
    <w:rsid w:val="001F23BF"/>
    <w:rsid w:val="001F305C"/>
    <w:rsid w:val="001F32A9"/>
    <w:rsid w:val="001F3756"/>
    <w:rsid w:val="001F3AF4"/>
    <w:rsid w:val="001F3C61"/>
    <w:rsid w:val="001F46C3"/>
    <w:rsid w:val="001F4D1C"/>
    <w:rsid w:val="001F5667"/>
    <w:rsid w:val="001F5877"/>
    <w:rsid w:val="001F5F77"/>
    <w:rsid w:val="001F6956"/>
    <w:rsid w:val="001F6D02"/>
    <w:rsid w:val="001F7E73"/>
    <w:rsid w:val="002002B2"/>
    <w:rsid w:val="0020033E"/>
    <w:rsid w:val="00201203"/>
    <w:rsid w:val="002017A2"/>
    <w:rsid w:val="002017D3"/>
    <w:rsid w:val="00202F60"/>
    <w:rsid w:val="002047C8"/>
    <w:rsid w:val="002049AA"/>
    <w:rsid w:val="00204D5C"/>
    <w:rsid w:val="00204E60"/>
    <w:rsid w:val="00205C2C"/>
    <w:rsid w:val="00205E26"/>
    <w:rsid w:val="00206038"/>
    <w:rsid w:val="002062A7"/>
    <w:rsid w:val="00206D75"/>
    <w:rsid w:val="00210502"/>
    <w:rsid w:val="002107C7"/>
    <w:rsid w:val="00210C03"/>
    <w:rsid w:val="00210C3B"/>
    <w:rsid w:val="00210FD8"/>
    <w:rsid w:val="002111E7"/>
    <w:rsid w:val="00212A02"/>
    <w:rsid w:val="00212E8A"/>
    <w:rsid w:val="0021358F"/>
    <w:rsid w:val="002138BC"/>
    <w:rsid w:val="002146F1"/>
    <w:rsid w:val="00214BFA"/>
    <w:rsid w:val="002154B7"/>
    <w:rsid w:val="0021559F"/>
    <w:rsid w:val="00216B4C"/>
    <w:rsid w:val="00217257"/>
    <w:rsid w:val="002205B3"/>
    <w:rsid w:val="002208D8"/>
    <w:rsid w:val="00220E2B"/>
    <w:rsid w:val="00220FAE"/>
    <w:rsid w:val="002215AC"/>
    <w:rsid w:val="002216F5"/>
    <w:rsid w:val="00221D83"/>
    <w:rsid w:val="00221FA9"/>
    <w:rsid w:val="002234D7"/>
    <w:rsid w:val="00223937"/>
    <w:rsid w:val="00223D8D"/>
    <w:rsid w:val="0022502A"/>
    <w:rsid w:val="00225403"/>
    <w:rsid w:val="00225548"/>
    <w:rsid w:val="0022582B"/>
    <w:rsid w:val="00225E5A"/>
    <w:rsid w:val="00226A10"/>
    <w:rsid w:val="0022721E"/>
    <w:rsid w:val="00227D45"/>
    <w:rsid w:val="00230348"/>
    <w:rsid w:val="00230349"/>
    <w:rsid w:val="0023044B"/>
    <w:rsid w:val="002304E5"/>
    <w:rsid w:val="00230688"/>
    <w:rsid w:val="00231C17"/>
    <w:rsid w:val="002324AC"/>
    <w:rsid w:val="002325A4"/>
    <w:rsid w:val="0023357B"/>
    <w:rsid w:val="00233765"/>
    <w:rsid w:val="00233BEB"/>
    <w:rsid w:val="00233CBA"/>
    <w:rsid w:val="00233E35"/>
    <w:rsid w:val="0023404D"/>
    <w:rsid w:val="00234132"/>
    <w:rsid w:val="00234C65"/>
    <w:rsid w:val="00235505"/>
    <w:rsid w:val="00235731"/>
    <w:rsid w:val="00237866"/>
    <w:rsid w:val="0024015D"/>
    <w:rsid w:val="00240C37"/>
    <w:rsid w:val="0024121A"/>
    <w:rsid w:val="002414AA"/>
    <w:rsid w:val="002415F3"/>
    <w:rsid w:val="00241C00"/>
    <w:rsid w:val="002420E0"/>
    <w:rsid w:val="002425D3"/>
    <w:rsid w:val="00242CD1"/>
    <w:rsid w:val="00242DAB"/>
    <w:rsid w:val="00242F34"/>
    <w:rsid w:val="00244284"/>
    <w:rsid w:val="00244909"/>
    <w:rsid w:val="00244A36"/>
    <w:rsid w:val="002450A4"/>
    <w:rsid w:val="002453D3"/>
    <w:rsid w:val="00245812"/>
    <w:rsid w:val="002466D1"/>
    <w:rsid w:val="00246979"/>
    <w:rsid w:val="002469C0"/>
    <w:rsid w:val="00246CC0"/>
    <w:rsid w:val="00246DAD"/>
    <w:rsid w:val="00246F5A"/>
    <w:rsid w:val="00247542"/>
    <w:rsid w:val="002476FD"/>
    <w:rsid w:val="00250857"/>
    <w:rsid w:val="00250BBE"/>
    <w:rsid w:val="00252875"/>
    <w:rsid w:val="00252C2E"/>
    <w:rsid w:val="00254216"/>
    <w:rsid w:val="00254F53"/>
    <w:rsid w:val="00255C2F"/>
    <w:rsid w:val="0025723C"/>
    <w:rsid w:val="00257BAA"/>
    <w:rsid w:val="002605C7"/>
    <w:rsid w:val="00262AB3"/>
    <w:rsid w:val="00263004"/>
    <w:rsid w:val="0026459A"/>
    <w:rsid w:val="0026511A"/>
    <w:rsid w:val="00265412"/>
    <w:rsid w:val="00265F59"/>
    <w:rsid w:val="002665E0"/>
    <w:rsid w:val="00270026"/>
    <w:rsid w:val="002713BB"/>
    <w:rsid w:val="002715C5"/>
    <w:rsid w:val="0027163E"/>
    <w:rsid w:val="002727E2"/>
    <w:rsid w:val="00272C9D"/>
    <w:rsid w:val="00273D08"/>
    <w:rsid w:val="00273DF6"/>
    <w:rsid w:val="00273EB5"/>
    <w:rsid w:val="00274220"/>
    <w:rsid w:val="00274230"/>
    <w:rsid w:val="00274B44"/>
    <w:rsid w:val="002751D5"/>
    <w:rsid w:val="0027522F"/>
    <w:rsid w:val="00275586"/>
    <w:rsid w:val="002757DB"/>
    <w:rsid w:val="00275C73"/>
    <w:rsid w:val="00276506"/>
    <w:rsid w:val="00277755"/>
    <w:rsid w:val="00277B22"/>
    <w:rsid w:val="002802E2"/>
    <w:rsid w:val="00280A17"/>
    <w:rsid w:val="0028107D"/>
    <w:rsid w:val="002812DB"/>
    <w:rsid w:val="00281CE7"/>
    <w:rsid w:val="00282702"/>
    <w:rsid w:val="0028272C"/>
    <w:rsid w:val="00284052"/>
    <w:rsid w:val="00284B6D"/>
    <w:rsid w:val="00284D4A"/>
    <w:rsid w:val="00285098"/>
    <w:rsid w:val="0028525C"/>
    <w:rsid w:val="0028530A"/>
    <w:rsid w:val="00286DD4"/>
    <w:rsid w:val="00287084"/>
    <w:rsid w:val="002900A6"/>
    <w:rsid w:val="00290D19"/>
    <w:rsid w:val="002911AE"/>
    <w:rsid w:val="002917AF"/>
    <w:rsid w:val="0029198C"/>
    <w:rsid w:val="00292043"/>
    <w:rsid w:val="00292C9C"/>
    <w:rsid w:val="002935C5"/>
    <w:rsid w:val="002939D9"/>
    <w:rsid w:val="00294093"/>
    <w:rsid w:val="00294389"/>
    <w:rsid w:val="002944BA"/>
    <w:rsid w:val="00294A99"/>
    <w:rsid w:val="002977F1"/>
    <w:rsid w:val="00297B03"/>
    <w:rsid w:val="002A0D94"/>
    <w:rsid w:val="002A143C"/>
    <w:rsid w:val="002A1869"/>
    <w:rsid w:val="002A1A28"/>
    <w:rsid w:val="002A1E9B"/>
    <w:rsid w:val="002A20E0"/>
    <w:rsid w:val="002A2804"/>
    <w:rsid w:val="002A3012"/>
    <w:rsid w:val="002A3B0B"/>
    <w:rsid w:val="002A3B9E"/>
    <w:rsid w:val="002A419D"/>
    <w:rsid w:val="002A5464"/>
    <w:rsid w:val="002B0133"/>
    <w:rsid w:val="002B0DAC"/>
    <w:rsid w:val="002B17F5"/>
    <w:rsid w:val="002B21D6"/>
    <w:rsid w:val="002B398E"/>
    <w:rsid w:val="002B4379"/>
    <w:rsid w:val="002B5014"/>
    <w:rsid w:val="002B627D"/>
    <w:rsid w:val="002B65B2"/>
    <w:rsid w:val="002B686F"/>
    <w:rsid w:val="002B6B10"/>
    <w:rsid w:val="002B727D"/>
    <w:rsid w:val="002B78E5"/>
    <w:rsid w:val="002B7904"/>
    <w:rsid w:val="002B7E8E"/>
    <w:rsid w:val="002C0003"/>
    <w:rsid w:val="002C0664"/>
    <w:rsid w:val="002C159C"/>
    <w:rsid w:val="002C2164"/>
    <w:rsid w:val="002C2E11"/>
    <w:rsid w:val="002C39DC"/>
    <w:rsid w:val="002C39DF"/>
    <w:rsid w:val="002C4700"/>
    <w:rsid w:val="002D0BF2"/>
    <w:rsid w:val="002D1599"/>
    <w:rsid w:val="002D16B8"/>
    <w:rsid w:val="002D1A04"/>
    <w:rsid w:val="002D1AC7"/>
    <w:rsid w:val="002D247A"/>
    <w:rsid w:val="002D26D8"/>
    <w:rsid w:val="002D26E6"/>
    <w:rsid w:val="002D2730"/>
    <w:rsid w:val="002D2899"/>
    <w:rsid w:val="002D422D"/>
    <w:rsid w:val="002D526E"/>
    <w:rsid w:val="002D6876"/>
    <w:rsid w:val="002E0A0B"/>
    <w:rsid w:val="002E0A33"/>
    <w:rsid w:val="002E0F8F"/>
    <w:rsid w:val="002E1A5E"/>
    <w:rsid w:val="002E1B5F"/>
    <w:rsid w:val="002E2DF0"/>
    <w:rsid w:val="002E4664"/>
    <w:rsid w:val="002E4AC1"/>
    <w:rsid w:val="002E5717"/>
    <w:rsid w:val="002E57AA"/>
    <w:rsid w:val="002E599F"/>
    <w:rsid w:val="002E5B1B"/>
    <w:rsid w:val="002E5B56"/>
    <w:rsid w:val="002E6381"/>
    <w:rsid w:val="002E7628"/>
    <w:rsid w:val="002E7B07"/>
    <w:rsid w:val="002F0D60"/>
    <w:rsid w:val="002F1083"/>
    <w:rsid w:val="002F176E"/>
    <w:rsid w:val="002F1E54"/>
    <w:rsid w:val="002F2872"/>
    <w:rsid w:val="002F2968"/>
    <w:rsid w:val="002F2B41"/>
    <w:rsid w:val="002F308C"/>
    <w:rsid w:val="002F3503"/>
    <w:rsid w:val="002F38E7"/>
    <w:rsid w:val="002F3C21"/>
    <w:rsid w:val="002F3CC1"/>
    <w:rsid w:val="002F3DD3"/>
    <w:rsid w:val="002F4848"/>
    <w:rsid w:val="002F493A"/>
    <w:rsid w:val="002F4ABE"/>
    <w:rsid w:val="002F5270"/>
    <w:rsid w:val="002F5BD5"/>
    <w:rsid w:val="002F7FA0"/>
    <w:rsid w:val="002F7FCF"/>
    <w:rsid w:val="00300329"/>
    <w:rsid w:val="0030034F"/>
    <w:rsid w:val="00302101"/>
    <w:rsid w:val="00302E16"/>
    <w:rsid w:val="00302E3D"/>
    <w:rsid w:val="00303F60"/>
    <w:rsid w:val="00304628"/>
    <w:rsid w:val="00304A4C"/>
    <w:rsid w:val="00305578"/>
    <w:rsid w:val="0030572B"/>
    <w:rsid w:val="00305BF4"/>
    <w:rsid w:val="00305D1F"/>
    <w:rsid w:val="00305E88"/>
    <w:rsid w:val="00306501"/>
    <w:rsid w:val="00306851"/>
    <w:rsid w:val="003068CA"/>
    <w:rsid w:val="00306C71"/>
    <w:rsid w:val="00306FEF"/>
    <w:rsid w:val="0030713E"/>
    <w:rsid w:val="00307893"/>
    <w:rsid w:val="00310BE4"/>
    <w:rsid w:val="00310C1E"/>
    <w:rsid w:val="00310F9C"/>
    <w:rsid w:val="00312FD8"/>
    <w:rsid w:val="003131CC"/>
    <w:rsid w:val="00313528"/>
    <w:rsid w:val="00313B89"/>
    <w:rsid w:val="00313CC3"/>
    <w:rsid w:val="00313E0F"/>
    <w:rsid w:val="003143A9"/>
    <w:rsid w:val="00314834"/>
    <w:rsid w:val="00314AD3"/>
    <w:rsid w:val="003153CE"/>
    <w:rsid w:val="00317325"/>
    <w:rsid w:val="0032091E"/>
    <w:rsid w:val="00320E48"/>
    <w:rsid w:val="00323932"/>
    <w:rsid w:val="003245EC"/>
    <w:rsid w:val="00324A9B"/>
    <w:rsid w:val="00324B22"/>
    <w:rsid w:val="00324C2A"/>
    <w:rsid w:val="00325280"/>
    <w:rsid w:val="00325F15"/>
    <w:rsid w:val="00330083"/>
    <w:rsid w:val="0033094A"/>
    <w:rsid w:val="00330EEA"/>
    <w:rsid w:val="0033221C"/>
    <w:rsid w:val="0033291A"/>
    <w:rsid w:val="003335C4"/>
    <w:rsid w:val="00334EE2"/>
    <w:rsid w:val="00335D18"/>
    <w:rsid w:val="00335FCD"/>
    <w:rsid w:val="0033663C"/>
    <w:rsid w:val="00336892"/>
    <w:rsid w:val="00336ACC"/>
    <w:rsid w:val="00336AFC"/>
    <w:rsid w:val="00336B00"/>
    <w:rsid w:val="00337084"/>
    <w:rsid w:val="003372B0"/>
    <w:rsid w:val="00337805"/>
    <w:rsid w:val="00337E1C"/>
    <w:rsid w:val="003404A0"/>
    <w:rsid w:val="00342732"/>
    <w:rsid w:val="00342AAB"/>
    <w:rsid w:val="00342B46"/>
    <w:rsid w:val="00343EB6"/>
    <w:rsid w:val="00344535"/>
    <w:rsid w:val="00346A9D"/>
    <w:rsid w:val="003477A5"/>
    <w:rsid w:val="00347F61"/>
    <w:rsid w:val="00350406"/>
    <w:rsid w:val="00350537"/>
    <w:rsid w:val="00351633"/>
    <w:rsid w:val="00352541"/>
    <w:rsid w:val="00353E02"/>
    <w:rsid w:val="0035555D"/>
    <w:rsid w:val="00357E0A"/>
    <w:rsid w:val="00357FD9"/>
    <w:rsid w:val="003608A8"/>
    <w:rsid w:val="00361F13"/>
    <w:rsid w:val="0036207F"/>
    <w:rsid w:val="00362FF3"/>
    <w:rsid w:val="00363A7F"/>
    <w:rsid w:val="00363C48"/>
    <w:rsid w:val="00363D6A"/>
    <w:rsid w:val="00364774"/>
    <w:rsid w:val="0036505E"/>
    <w:rsid w:val="003653F0"/>
    <w:rsid w:val="00367D8C"/>
    <w:rsid w:val="003703E9"/>
    <w:rsid w:val="003718F9"/>
    <w:rsid w:val="00371D46"/>
    <w:rsid w:val="00371EFF"/>
    <w:rsid w:val="003729D4"/>
    <w:rsid w:val="00372E16"/>
    <w:rsid w:val="003730A6"/>
    <w:rsid w:val="00373905"/>
    <w:rsid w:val="00373F44"/>
    <w:rsid w:val="00374577"/>
    <w:rsid w:val="00375011"/>
    <w:rsid w:val="003769F0"/>
    <w:rsid w:val="0037751A"/>
    <w:rsid w:val="00377D73"/>
    <w:rsid w:val="00381433"/>
    <w:rsid w:val="00381562"/>
    <w:rsid w:val="00381D04"/>
    <w:rsid w:val="0038336D"/>
    <w:rsid w:val="00383C90"/>
    <w:rsid w:val="00383FC9"/>
    <w:rsid w:val="00384005"/>
    <w:rsid w:val="00384BB2"/>
    <w:rsid w:val="00384C7D"/>
    <w:rsid w:val="00384DE1"/>
    <w:rsid w:val="00385D35"/>
    <w:rsid w:val="00386A9A"/>
    <w:rsid w:val="00387381"/>
    <w:rsid w:val="00387465"/>
    <w:rsid w:val="0038794C"/>
    <w:rsid w:val="00390654"/>
    <w:rsid w:val="003907B6"/>
    <w:rsid w:val="003908F7"/>
    <w:rsid w:val="00390A46"/>
    <w:rsid w:val="00390B0B"/>
    <w:rsid w:val="003914D6"/>
    <w:rsid w:val="00391942"/>
    <w:rsid w:val="00391D99"/>
    <w:rsid w:val="00392599"/>
    <w:rsid w:val="00392995"/>
    <w:rsid w:val="00392DDB"/>
    <w:rsid w:val="003936E9"/>
    <w:rsid w:val="003945D3"/>
    <w:rsid w:val="00394B47"/>
    <w:rsid w:val="0039529C"/>
    <w:rsid w:val="00395653"/>
    <w:rsid w:val="00396D61"/>
    <w:rsid w:val="00396DF1"/>
    <w:rsid w:val="003974AC"/>
    <w:rsid w:val="003976F7"/>
    <w:rsid w:val="00397BC7"/>
    <w:rsid w:val="003A1258"/>
    <w:rsid w:val="003A34E2"/>
    <w:rsid w:val="003A3FE7"/>
    <w:rsid w:val="003A4E7B"/>
    <w:rsid w:val="003A5BAA"/>
    <w:rsid w:val="003A7469"/>
    <w:rsid w:val="003A7F5C"/>
    <w:rsid w:val="003B002F"/>
    <w:rsid w:val="003B0401"/>
    <w:rsid w:val="003B05EF"/>
    <w:rsid w:val="003B109D"/>
    <w:rsid w:val="003B1D24"/>
    <w:rsid w:val="003B2104"/>
    <w:rsid w:val="003B25CE"/>
    <w:rsid w:val="003B26E8"/>
    <w:rsid w:val="003B2970"/>
    <w:rsid w:val="003B3232"/>
    <w:rsid w:val="003B496B"/>
    <w:rsid w:val="003B4B36"/>
    <w:rsid w:val="003B4C39"/>
    <w:rsid w:val="003B4EC6"/>
    <w:rsid w:val="003B5698"/>
    <w:rsid w:val="003B595A"/>
    <w:rsid w:val="003B5A26"/>
    <w:rsid w:val="003B608A"/>
    <w:rsid w:val="003B68D0"/>
    <w:rsid w:val="003B7966"/>
    <w:rsid w:val="003B7C2D"/>
    <w:rsid w:val="003C040D"/>
    <w:rsid w:val="003C0D7C"/>
    <w:rsid w:val="003C0F7A"/>
    <w:rsid w:val="003C1002"/>
    <w:rsid w:val="003C145D"/>
    <w:rsid w:val="003C2E68"/>
    <w:rsid w:val="003C37D4"/>
    <w:rsid w:val="003C40DA"/>
    <w:rsid w:val="003C49C4"/>
    <w:rsid w:val="003C4C66"/>
    <w:rsid w:val="003C5BA5"/>
    <w:rsid w:val="003C5BBB"/>
    <w:rsid w:val="003C713E"/>
    <w:rsid w:val="003C7184"/>
    <w:rsid w:val="003C761B"/>
    <w:rsid w:val="003D0226"/>
    <w:rsid w:val="003D3F80"/>
    <w:rsid w:val="003D516B"/>
    <w:rsid w:val="003D5786"/>
    <w:rsid w:val="003D7CBA"/>
    <w:rsid w:val="003E00F6"/>
    <w:rsid w:val="003E0213"/>
    <w:rsid w:val="003E1899"/>
    <w:rsid w:val="003E1DEE"/>
    <w:rsid w:val="003E2736"/>
    <w:rsid w:val="003E3F5B"/>
    <w:rsid w:val="003E40A2"/>
    <w:rsid w:val="003E50CE"/>
    <w:rsid w:val="003E51DB"/>
    <w:rsid w:val="003E52A7"/>
    <w:rsid w:val="003E532F"/>
    <w:rsid w:val="003E5872"/>
    <w:rsid w:val="003E58F8"/>
    <w:rsid w:val="003E6E4C"/>
    <w:rsid w:val="003F0160"/>
    <w:rsid w:val="003F0A34"/>
    <w:rsid w:val="003F0CF1"/>
    <w:rsid w:val="003F13B8"/>
    <w:rsid w:val="003F1AEA"/>
    <w:rsid w:val="003F3B6A"/>
    <w:rsid w:val="003F5773"/>
    <w:rsid w:val="003F6305"/>
    <w:rsid w:val="003F6FAC"/>
    <w:rsid w:val="003F75D0"/>
    <w:rsid w:val="003F784A"/>
    <w:rsid w:val="003F7870"/>
    <w:rsid w:val="00400BEA"/>
    <w:rsid w:val="00400C0C"/>
    <w:rsid w:val="00400FEA"/>
    <w:rsid w:val="00401D3A"/>
    <w:rsid w:val="004020A0"/>
    <w:rsid w:val="00402143"/>
    <w:rsid w:val="00402464"/>
    <w:rsid w:val="004028DB"/>
    <w:rsid w:val="00405ECE"/>
    <w:rsid w:val="00406143"/>
    <w:rsid w:val="0040624D"/>
    <w:rsid w:val="00406484"/>
    <w:rsid w:val="0040657B"/>
    <w:rsid w:val="004067C3"/>
    <w:rsid w:val="00406B10"/>
    <w:rsid w:val="004074F9"/>
    <w:rsid w:val="00410F33"/>
    <w:rsid w:val="00411F09"/>
    <w:rsid w:val="004127A6"/>
    <w:rsid w:val="00412B97"/>
    <w:rsid w:val="00412D94"/>
    <w:rsid w:val="004139E2"/>
    <w:rsid w:val="00413AE5"/>
    <w:rsid w:val="004149B9"/>
    <w:rsid w:val="00414BFA"/>
    <w:rsid w:val="00414F3F"/>
    <w:rsid w:val="00415411"/>
    <w:rsid w:val="00415494"/>
    <w:rsid w:val="0041788A"/>
    <w:rsid w:val="00417DC9"/>
    <w:rsid w:val="00420C46"/>
    <w:rsid w:val="00421DD6"/>
    <w:rsid w:val="00421DEB"/>
    <w:rsid w:val="00421E14"/>
    <w:rsid w:val="00422467"/>
    <w:rsid w:val="00422A70"/>
    <w:rsid w:val="00422C00"/>
    <w:rsid w:val="00422E7B"/>
    <w:rsid w:val="00423046"/>
    <w:rsid w:val="0042379E"/>
    <w:rsid w:val="004237DB"/>
    <w:rsid w:val="00423A10"/>
    <w:rsid w:val="00423F60"/>
    <w:rsid w:val="004258E6"/>
    <w:rsid w:val="00425922"/>
    <w:rsid w:val="0042656D"/>
    <w:rsid w:val="00426A39"/>
    <w:rsid w:val="00426D6E"/>
    <w:rsid w:val="004279F6"/>
    <w:rsid w:val="00427A55"/>
    <w:rsid w:val="00427A99"/>
    <w:rsid w:val="00427D63"/>
    <w:rsid w:val="004305BD"/>
    <w:rsid w:val="00430F38"/>
    <w:rsid w:val="004313B1"/>
    <w:rsid w:val="004314CA"/>
    <w:rsid w:val="004317C0"/>
    <w:rsid w:val="00433BF5"/>
    <w:rsid w:val="00434A29"/>
    <w:rsid w:val="00435360"/>
    <w:rsid w:val="0043599E"/>
    <w:rsid w:val="00436493"/>
    <w:rsid w:val="00436E2F"/>
    <w:rsid w:val="00437746"/>
    <w:rsid w:val="00437C9A"/>
    <w:rsid w:val="00437FDF"/>
    <w:rsid w:val="0044079B"/>
    <w:rsid w:val="00441018"/>
    <w:rsid w:val="0044178F"/>
    <w:rsid w:val="00441A98"/>
    <w:rsid w:val="00441C34"/>
    <w:rsid w:val="00442C32"/>
    <w:rsid w:val="00444278"/>
    <w:rsid w:val="004443AE"/>
    <w:rsid w:val="00446251"/>
    <w:rsid w:val="0044651A"/>
    <w:rsid w:val="00447D3B"/>
    <w:rsid w:val="00447D53"/>
    <w:rsid w:val="00450341"/>
    <w:rsid w:val="00451343"/>
    <w:rsid w:val="004518E9"/>
    <w:rsid w:val="00451CF1"/>
    <w:rsid w:val="00452DFB"/>
    <w:rsid w:val="00453002"/>
    <w:rsid w:val="00453D46"/>
    <w:rsid w:val="00453F07"/>
    <w:rsid w:val="004543B6"/>
    <w:rsid w:val="00455609"/>
    <w:rsid w:val="00455B93"/>
    <w:rsid w:val="00455EAC"/>
    <w:rsid w:val="004565D7"/>
    <w:rsid w:val="00460092"/>
    <w:rsid w:val="004607F0"/>
    <w:rsid w:val="00461149"/>
    <w:rsid w:val="004615E0"/>
    <w:rsid w:val="00461BC1"/>
    <w:rsid w:val="00461D4C"/>
    <w:rsid w:val="0046249E"/>
    <w:rsid w:val="00463043"/>
    <w:rsid w:val="00463513"/>
    <w:rsid w:val="00463857"/>
    <w:rsid w:val="00463E16"/>
    <w:rsid w:val="0046454C"/>
    <w:rsid w:val="00464D59"/>
    <w:rsid w:val="00464DB6"/>
    <w:rsid w:val="00465325"/>
    <w:rsid w:val="00465660"/>
    <w:rsid w:val="00465ACE"/>
    <w:rsid w:val="004660C2"/>
    <w:rsid w:val="004663EB"/>
    <w:rsid w:val="004668A3"/>
    <w:rsid w:val="00470B22"/>
    <w:rsid w:val="00471841"/>
    <w:rsid w:val="0047193E"/>
    <w:rsid w:val="0047219D"/>
    <w:rsid w:val="00472785"/>
    <w:rsid w:val="00472B14"/>
    <w:rsid w:val="00472B95"/>
    <w:rsid w:val="004734B3"/>
    <w:rsid w:val="00474237"/>
    <w:rsid w:val="0047438D"/>
    <w:rsid w:val="00474418"/>
    <w:rsid w:val="0047513F"/>
    <w:rsid w:val="0048068B"/>
    <w:rsid w:val="004811EF"/>
    <w:rsid w:val="0048127A"/>
    <w:rsid w:val="00482DBC"/>
    <w:rsid w:val="00484342"/>
    <w:rsid w:val="0048479B"/>
    <w:rsid w:val="00485598"/>
    <w:rsid w:val="00485BFB"/>
    <w:rsid w:val="00485C08"/>
    <w:rsid w:val="00486B46"/>
    <w:rsid w:val="00486F8A"/>
    <w:rsid w:val="0048798B"/>
    <w:rsid w:val="00490AF0"/>
    <w:rsid w:val="00491421"/>
    <w:rsid w:val="00491907"/>
    <w:rsid w:val="004921FD"/>
    <w:rsid w:val="0049221A"/>
    <w:rsid w:val="00492DAA"/>
    <w:rsid w:val="00493065"/>
    <w:rsid w:val="004940F8"/>
    <w:rsid w:val="00494BE7"/>
    <w:rsid w:val="00495225"/>
    <w:rsid w:val="004966ED"/>
    <w:rsid w:val="00496C7E"/>
    <w:rsid w:val="0049756B"/>
    <w:rsid w:val="004A18AD"/>
    <w:rsid w:val="004A21B1"/>
    <w:rsid w:val="004A2555"/>
    <w:rsid w:val="004A2809"/>
    <w:rsid w:val="004A291E"/>
    <w:rsid w:val="004A3101"/>
    <w:rsid w:val="004A36AB"/>
    <w:rsid w:val="004A3C29"/>
    <w:rsid w:val="004A3EDE"/>
    <w:rsid w:val="004A4419"/>
    <w:rsid w:val="004A44C0"/>
    <w:rsid w:val="004A560D"/>
    <w:rsid w:val="004A66D0"/>
    <w:rsid w:val="004A6E01"/>
    <w:rsid w:val="004A6ED0"/>
    <w:rsid w:val="004A77AB"/>
    <w:rsid w:val="004A7A52"/>
    <w:rsid w:val="004B0934"/>
    <w:rsid w:val="004B0C10"/>
    <w:rsid w:val="004B0D88"/>
    <w:rsid w:val="004B113F"/>
    <w:rsid w:val="004B118C"/>
    <w:rsid w:val="004B1960"/>
    <w:rsid w:val="004B24EB"/>
    <w:rsid w:val="004B2547"/>
    <w:rsid w:val="004B295B"/>
    <w:rsid w:val="004B2FBE"/>
    <w:rsid w:val="004B36EB"/>
    <w:rsid w:val="004B4E2A"/>
    <w:rsid w:val="004B4EB3"/>
    <w:rsid w:val="004B5814"/>
    <w:rsid w:val="004B5D74"/>
    <w:rsid w:val="004B5F3E"/>
    <w:rsid w:val="004B608A"/>
    <w:rsid w:val="004B6E33"/>
    <w:rsid w:val="004B75C8"/>
    <w:rsid w:val="004B777D"/>
    <w:rsid w:val="004B7E0A"/>
    <w:rsid w:val="004C0075"/>
    <w:rsid w:val="004C065F"/>
    <w:rsid w:val="004C07E4"/>
    <w:rsid w:val="004C0E9A"/>
    <w:rsid w:val="004C11F4"/>
    <w:rsid w:val="004C17E7"/>
    <w:rsid w:val="004C1871"/>
    <w:rsid w:val="004C2190"/>
    <w:rsid w:val="004C21EE"/>
    <w:rsid w:val="004C31E5"/>
    <w:rsid w:val="004C355B"/>
    <w:rsid w:val="004C35B2"/>
    <w:rsid w:val="004C41CB"/>
    <w:rsid w:val="004C4D5A"/>
    <w:rsid w:val="004C4FFF"/>
    <w:rsid w:val="004C5E8C"/>
    <w:rsid w:val="004C6333"/>
    <w:rsid w:val="004C65BB"/>
    <w:rsid w:val="004C6F23"/>
    <w:rsid w:val="004C71DF"/>
    <w:rsid w:val="004C74D1"/>
    <w:rsid w:val="004C75B0"/>
    <w:rsid w:val="004C7710"/>
    <w:rsid w:val="004D02F5"/>
    <w:rsid w:val="004D049A"/>
    <w:rsid w:val="004D05DD"/>
    <w:rsid w:val="004D074C"/>
    <w:rsid w:val="004D0862"/>
    <w:rsid w:val="004D1C28"/>
    <w:rsid w:val="004D226B"/>
    <w:rsid w:val="004D2CCA"/>
    <w:rsid w:val="004D32EB"/>
    <w:rsid w:val="004D374B"/>
    <w:rsid w:val="004D3799"/>
    <w:rsid w:val="004D4D44"/>
    <w:rsid w:val="004D5D77"/>
    <w:rsid w:val="004D6A33"/>
    <w:rsid w:val="004D749A"/>
    <w:rsid w:val="004D7D6C"/>
    <w:rsid w:val="004E04CD"/>
    <w:rsid w:val="004E0799"/>
    <w:rsid w:val="004E0CC8"/>
    <w:rsid w:val="004E1253"/>
    <w:rsid w:val="004E17A4"/>
    <w:rsid w:val="004E2A42"/>
    <w:rsid w:val="004E31FC"/>
    <w:rsid w:val="004E3C12"/>
    <w:rsid w:val="004E3DBA"/>
    <w:rsid w:val="004E4483"/>
    <w:rsid w:val="004E5A0B"/>
    <w:rsid w:val="004E5DE6"/>
    <w:rsid w:val="004E5F41"/>
    <w:rsid w:val="004E68FF"/>
    <w:rsid w:val="004E7DCA"/>
    <w:rsid w:val="004F01DC"/>
    <w:rsid w:val="004F11D5"/>
    <w:rsid w:val="004F12D3"/>
    <w:rsid w:val="004F1643"/>
    <w:rsid w:val="004F23BE"/>
    <w:rsid w:val="004F23C3"/>
    <w:rsid w:val="004F3925"/>
    <w:rsid w:val="004F40AD"/>
    <w:rsid w:val="004F6F32"/>
    <w:rsid w:val="004F7948"/>
    <w:rsid w:val="005000E7"/>
    <w:rsid w:val="005001CB"/>
    <w:rsid w:val="005006E4"/>
    <w:rsid w:val="005008D1"/>
    <w:rsid w:val="00500A7D"/>
    <w:rsid w:val="00502577"/>
    <w:rsid w:val="005028C1"/>
    <w:rsid w:val="00502AA9"/>
    <w:rsid w:val="00503994"/>
    <w:rsid w:val="005042F4"/>
    <w:rsid w:val="0050435A"/>
    <w:rsid w:val="00504F79"/>
    <w:rsid w:val="00505206"/>
    <w:rsid w:val="00506928"/>
    <w:rsid w:val="005075DD"/>
    <w:rsid w:val="00507EE1"/>
    <w:rsid w:val="00510FFF"/>
    <w:rsid w:val="005118F3"/>
    <w:rsid w:val="00512314"/>
    <w:rsid w:val="00512855"/>
    <w:rsid w:val="00512F06"/>
    <w:rsid w:val="005138C2"/>
    <w:rsid w:val="00513AEF"/>
    <w:rsid w:val="005145F3"/>
    <w:rsid w:val="00514C38"/>
    <w:rsid w:val="005150E4"/>
    <w:rsid w:val="005161CB"/>
    <w:rsid w:val="00517930"/>
    <w:rsid w:val="00517C8D"/>
    <w:rsid w:val="00517FD4"/>
    <w:rsid w:val="00520A40"/>
    <w:rsid w:val="00520AB9"/>
    <w:rsid w:val="00520D5D"/>
    <w:rsid w:val="00521274"/>
    <w:rsid w:val="0052148E"/>
    <w:rsid w:val="0052222F"/>
    <w:rsid w:val="005224E1"/>
    <w:rsid w:val="00522AF5"/>
    <w:rsid w:val="00522D85"/>
    <w:rsid w:val="00523A00"/>
    <w:rsid w:val="00523C94"/>
    <w:rsid w:val="00524D35"/>
    <w:rsid w:val="005266A8"/>
    <w:rsid w:val="00526812"/>
    <w:rsid w:val="00526DA2"/>
    <w:rsid w:val="00526FFB"/>
    <w:rsid w:val="005279F3"/>
    <w:rsid w:val="005308B7"/>
    <w:rsid w:val="00530AA5"/>
    <w:rsid w:val="00530E69"/>
    <w:rsid w:val="005316FB"/>
    <w:rsid w:val="005317C4"/>
    <w:rsid w:val="00531C8E"/>
    <w:rsid w:val="00531FCC"/>
    <w:rsid w:val="005325DB"/>
    <w:rsid w:val="00532D35"/>
    <w:rsid w:val="00532E41"/>
    <w:rsid w:val="0053333A"/>
    <w:rsid w:val="00533360"/>
    <w:rsid w:val="005336B3"/>
    <w:rsid w:val="00533A02"/>
    <w:rsid w:val="005346D7"/>
    <w:rsid w:val="00535588"/>
    <w:rsid w:val="0053587D"/>
    <w:rsid w:val="00535DB1"/>
    <w:rsid w:val="0053629D"/>
    <w:rsid w:val="00536F46"/>
    <w:rsid w:val="00537340"/>
    <w:rsid w:val="00537BE5"/>
    <w:rsid w:val="00541B3D"/>
    <w:rsid w:val="00541C84"/>
    <w:rsid w:val="00543030"/>
    <w:rsid w:val="00543B73"/>
    <w:rsid w:val="0054471A"/>
    <w:rsid w:val="00544D7B"/>
    <w:rsid w:val="00544E80"/>
    <w:rsid w:val="0054663B"/>
    <w:rsid w:val="00546F46"/>
    <w:rsid w:val="00547700"/>
    <w:rsid w:val="005478C9"/>
    <w:rsid w:val="00547B2E"/>
    <w:rsid w:val="005518DC"/>
    <w:rsid w:val="0055215D"/>
    <w:rsid w:val="0055250C"/>
    <w:rsid w:val="0055295F"/>
    <w:rsid w:val="005543CE"/>
    <w:rsid w:val="00554AF1"/>
    <w:rsid w:val="00554CE1"/>
    <w:rsid w:val="00555821"/>
    <w:rsid w:val="005559E8"/>
    <w:rsid w:val="00555A20"/>
    <w:rsid w:val="00555C09"/>
    <w:rsid w:val="005560D4"/>
    <w:rsid w:val="005566EC"/>
    <w:rsid w:val="00556AC3"/>
    <w:rsid w:val="0055742F"/>
    <w:rsid w:val="00560F3F"/>
    <w:rsid w:val="00561067"/>
    <w:rsid w:val="005613D9"/>
    <w:rsid w:val="005616FE"/>
    <w:rsid w:val="00561D46"/>
    <w:rsid w:val="00562E89"/>
    <w:rsid w:val="0056338A"/>
    <w:rsid w:val="00563728"/>
    <w:rsid w:val="00564A27"/>
    <w:rsid w:val="00564B57"/>
    <w:rsid w:val="00564E0F"/>
    <w:rsid w:val="005660BB"/>
    <w:rsid w:val="0056617E"/>
    <w:rsid w:val="00566A44"/>
    <w:rsid w:val="00566CA9"/>
    <w:rsid w:val="00567FA7"/>
    <w:rsid w:val="00570156"/>
    <w:rsid w:val="00570FD3"/>
    <w:rsid w:val="0057117F"/>
    <w:rsid w:val="0057166A"/>
    <w:rsid w:val="0057168F"/>
    <w:rsid w:val="00571A07"/>
    <w:rsid w:val="00571B68"/>
    <w:rsid w:val="0057211E"/>
    <w:rsid w:val="0057290A"/>
    <w:rsid w:val="00574622"/>
    <w:rsid w:val="00574F95"/>
    <w:rsid w:val="005758B5"/>
    <w:rsid w:val="00575C68"/>
    <w:rsid w:val="00576D69"/>
    <w:rsid w:val="0057784F"/>
    <w:rsid w:val="00577F2F"/>
    <w:rsid w:val="00580FD6"/>
    <w:rsid w:val="00581A06"/>
    <w:rsid w:val="00581C14"/>
    <w:rsid w:val="00581E38"/>
    <w:rsid w:val="00582465"/>
    <w:rsid w:val="00582C2F"/>
    <w:rsid w:val="00583848"/>
    <w:rsid w:val="00583CC5"/>
    <w:rsid w:val="00584C9C"/>
    <w:rsid w:val="0058547F"/>
    <w:rsid w:val="005855EC"/>
    <w:rsid w:val="00585617"/>
    <w:rsid w:val="00585FE0"/>
    <w:rsid w:val="005863E9"/>
    <w:rsid w:val="00590C2D"/>
    <w:rsid w:val="0059119D"/>
    <w:rsid w:val="0059191E"/>
    <w:rsid w:val="00592671"/>
    <w:rsid w:val="0059280C"/>
    <w:rsid w:val="00594F07"/>
    <w:rsid w:val="0059585C"/>
    <w:rsid w:val="005959AD"/>
    <w:rsid w:val="00595C3F"/>
    <w:rsid w:val="00595E6C"/>
    <w:rsid w:val="0059640D"/>
    <w:rsid w:val="005965AA"/>
    <w:rsid w:val="005974BC"/>
    <w:rsid w:val="005974E1"/>
    <w:rsid w:val="005976CC"/>
    <w:rsid w:val="00597961"/>
    <w:rsid w:val="005A0A66"/>
    <w:rsid w:val="005A0E50"/>
    <w:rsid w:val="005A0F43"/>
    <w:rsid w:val="005A1E4F"/>
    <w:rsid w:val="005A2685"/>
    <w:rsid w:val="005A2700"/>
    <w:rsid w:val="005A2F34"/>
    <w:rsid w:val="005A34DD"/>
    <w:rsid w:val="005A379A"/>
    <w:rsid w:val="005A39E1"/>
    <w:rsid w:val="005A4632"/>
    <w:rsid w:val="005A5325"/>
    <w:rsid w:val="005A5EC7"/>
    <w:rsid w:val="005A635F"/>
    <w:rsid w:val="005A6608"/>
    <w:rsid w:val="005A7447"/>
    <w:rsid w:val="005A785E"/>
    <w:rsid w:val="005B13FD"/>
    <w:rsid w:val="005B33CD"/>
    <w:rsid w:val="005B3E08"/>
    <w:rsid w:val="005B4174"/>
    <w:rsid w:val="005B4368"/>
    <w:rsid w:val="005B46F0"/>
    <w:rsid w:val="005B4B3A"/>
    <w:rsid w:val="005B5B15"/>
    <w:rsid w:val="005B60B1"/>
    <w:rsid w:val="005B6109"/>
    <w:rsid w:val="005B69FD"/>
    <w:rsid w:val="005B7395"/>
    <w:rsid w:val="005B7F6F"/>
    <w:rsid w:val="005C1AF3"/>
    <w:rsid w:val="005C1FB2"/>
    <w:rsid w:val="005C212B"/>
    <w:rsid w:val="005C287F"/>
    <w:rsid w:val="005C2E81"/>
    <w:rsid w:val="005C2F3E"/>
    <w:rsid w:val="005C2FA8"/>
    <w:rsid w:val="005C3E4D"/>
    <w:rsid w:val="005C4A62"/>
    <w:rsid w:val="005C5143"/>
    <w:rsid w:val="005C5D3F"/>
    <w:rsid w:val="005C6F3D"/>
    <w:rsid w:val="005C7209"/>
    <w:rsid w:val="005C739E"/>
    <w:rsid w:val="005C7FA3"/>
    <w:rsid w:val="005D090A"/>
    <w:rsid w:val="005D11DD"/>
    <w:rsid w:val="005D276C"/>
    <w:rsid w:val="005D2E36"/>
    <w:rsid w:val="005D4D4B"/>
    <w:rsid w:val="005D4DB2"/>
    <w:rsid w:val="005D57AD"/>
    <w:rsid w:val="005D5850"/>
    <w:rsid w:val="005D5CA0"/>
    <w:rsid w:val="005D5E3C"/>
    <w:rsid w:val="005D6004"/>
    <w:rsid w:val="005D65D0"/>
    <w:rsid w:val="005D665E"/>
    <w:rsid w:val="005D7262"/>
    <w:rsid w:val="005D79CD"/>
    <w:rsid w:val="005D7A88"/>
    <w:rsid w:val="005D7E8A"/>
    <w:rsid w:val="005E1B35"/>
    <w:rsid w:val="005E1D86"/>
    <w:rsid w:val="005E1FCA"/>
    <w:rsid w:val="005E25E0"/>
    <w:rsid w:val="005E2878"/>
    <w:rsid w:val="005E2CBA"/>
    <w:rsid w:val="005E2FD3"/>
    <w:rsid w:val="005E400B"/>
    <w:rsid w:val="005E49CF"/>
    <w:rsid w:val="005E4BE7"/>
    <w:rsid w:val="005E5619"/>
    <w:rsid w:val="005E5D0E"/>
    <w:rsid w:val="005E612D"/>
    <w:rsid w:val="005E613C"/>
    <w:rsid w:val="005E70E2"/>
    <w:rsid w:val="005E7231"/>
    <w:rsid w:val="005E7AED"/>
    <w:rsid w:val="005F00F1"/>
    <w:rsid w:val="005F0775"/>
    <w:rsid w:val="005F0E9C"/>
    <w:rsid w:val="005F1AED"/>
    <w:rsid w:val="005F27F1"/>
    <w:rsid w:val="005F3308"/>
    <w:rsid w:val="005F4306"/>
    <w:rsid w:val="005F4821"/>
    <w:rsid w:val="005F5320"/>
    <w:rsid w:val="005F5F9A"/>
    <w:rsid w:val="005F607B"/>
    <w:rsid w:val="005F68A5"/>
    <w:rsid w:val="005F7099"/>
    <w:rsid w:val="005F7587"/>
    <w:rsid w:val="005F7C8B"/>
    <w:rsid w:val="005F7D70"/>
    <w:rsid w:val="00600670"/>
    <w:rsid w:val="00600D90"/>
    <w:rsid w:val="00600F0C"/>
    <w:rsid w:val="0060159C"/>
    <w:rsid w:val="00601743"/>
    <w:rsid w:val="00601824"/>
    <w:rsid w:val="006020C7"/>
    <w:rsid w:val="00603597"/>
    <w:rsid w:val="006035E7"/>
    <w:rsid w:val="006037EA"/>
    <w:rsid w:val="0060495E"/>
    <w:rsid w:val="00604ADB"/>
    <w:rsid w:val="00604B3D"/>
    <w:rsid w:val="00604B9C"/>
    <w:rsid w:val="00604D76"/>
    <w:rsid w:val="006052FB"/>
    <w:rsid w:val="00605E3B"/>
    <w:rsid w:val="00607909"/>
    <w:rsid w:val="0061081E"/>
    <w:rsid w:val="0061095A"/>
    <w:rsid w:val="006109C2"/>
    <w:rsid w:val="006123B4"/>
    <w:rsid w:val="0061253E"/>
    <w:rsid w:val="00613ED2"/>
    <w:rsid w:val="006150E1"/>
    <w:rsid w:val="006172AA"/>
    <w:rsid w:val="00617648"/>
    <w:rsid w:val="00617B3D"/>
    <w:rsid w:val="006200BC"/>
    <w:rsid w:val="006205A7"/>
    <w:rsid w:val="006211D7"/>
    <w:rsid w:val="00621554"/>
    <w:rsid w:val="0062206B"/>
    <w:rsid w:val="006226C7"/>
    <w:rsid w:val="0062293F"/>
    <w:rsid w:val="00622C6D"/>
    <w:rsid w:val="00622C84"/>
    <w:rsid w:val="00623142"/>
    <w:rsid w:val="00623455"/>
    <w:rsid w:val="00623701"/>
    <w:rsid w:val="00623E40"/>
    <w:rsid w:val="00625469"/>
    <w:rsid w:val="00625ABA"/>
    <w:rsid w:val="0062763F"/>
    <w:rsid w:val="00627782"/>
    <w:rsid w:val="0062787C"/>
    <w:rsid w:val="006304FF"/>
    <w:rsid w:val="0063120D"/>
    <w:rsid w:val="00631627"/>
    <w:rsid w:val="00631D72"/>
    <w:rsid w:val="006323A5"/>
    <w:rsid w:val="006335C8"/>
    <w:rsid w:val="006340A0"/>
    <w:rsid w:val="00634E2B"/>
    <w:rsid w:val="00634FC5"/>
    <w:rsid w:val="0063547A"/>
    <w:rsid w:val="00635AC9"/>
    <w:rsid w:val="00635AE2"/>
    <w:rsid w:val="0064038A"/>
    <w:rsid w:val="006410CB"/>
    <w:rsid w:val="0064177F"/>
    <w:rsid w:val="00641FF1"/>
    <w:rsid w:val="00642DEB"/>
    <w:rsid w:val="00643374"/>
    <w:rsid w:val="0064352D"/>
    <w:rsid w:val="00643857"/>
    <w:rsid w:val="00643956"/>
    <w:rsid w:val="00643C75"/>
    <w:rsid w:val="00644357"/>
    <w:rsid w:val="006445CF"/>
    <w:rsid w:val="00644C9A"/>
    <w:rsid w:val="00644D23"/>
    <w:rsid w:val="00645207"/>
    <w:rsid w:val="006463E9"/>
    <w:rsid w:val="00646628"/>
    <w:rsid w:val="006477AF"/>
    <w:rsid w:val="00650D4A"/>
    <w:rsid w:val="00651196"/>
    <w:rsid w:val="00651496"/>
    <w:rsid w:val="006524E4"/>
    <w:rsid w:val="00652BC7"/>
    <w:rsid w:val="00652C62"/>
    <w:rsid w:val="00653B5A"/>
    <w:rsid w:val="006548D8"/>
    <w:rsid w:val="00654DF7"/>
    <w:rsid w:val="00655AA0"/>
    <w:rsid w:val="00655C4F"/>
    <w:rsid w:val="006564A2"/>
    <w:rsid w:val="006564C7"/>
    <w:rsid w:val="00657469"/>
    <w:rsid w:val="0065769A"/>
    <w:rsid w:val="0065782C"/>
    <w:rsid w:val="006579FD"/>
    <w:rsid w:val="00657AA5"/>
    <w:rsid w:val="00661F09"/>
    <w:rsid w:val="006622CB"/>
    <w:rsid w:val="0066273B"/>
    <w:rsid w:val="006637C4"/>
    <w:rsid w:val="00663E98"/>
    <w:rsid w:val="0066459A"/>
    <w:rsid w:val="00664A24"/>
    <w:rsid w:val="00665F0B"/>
    <w:rsid w:val="00666F6A"/>
    <w:rsid w:val="0067022B"/>
    <w:rsid w:val="006706E3"/>
    <w:rsid w:val="0067209C"/>
    <w:rsid w:val="006725DD"/>
    <w:rsid w:val="0067328A"/>
    <w:rsid w:val="006734D0"/>
    <w:rsid w:val="0067384C"/>
    <w:rsid w:val="00673929"/>
    <w:rsid w:val="00675B1B"/>
    <w:rsid w:val="006761F6"/>
    <w:rsid w:val="006771ED"/>
    <w:rsid w:val="00677281"/>
    <w:rsid w:val="00677427"/>
    <w:rsid w:val="00677DBC"/>
    <w:rsid w:val="0068078D"/>
    <w:rsid w:val="00680D31"/>
    <w:rsid w:val="00681360"/>
    <w:rsid w:val="0068149A"/>
    <w:rsid w:val="006815DC"/>
    <w:rsid w:val="00681937"/>
    <w:rsid w:val="00682C70"/>
    <w:rsid w:val="00683D58"/>
    <w:rsid w:val="00683E00"/>
    <w:rsid w:val="0068419A"/>
    <w:rsid w:val="00685409"/>
    <w:rsid w:val="006859A9"/>
    <w:rsid w:val="00687006"/>
    <w:rsid w:val="00687BDE"/>
    <w:rsid w:val="0069037C"/>
    <w:rsid w:val="0069243F"/>
    <w:rsid w:val="0069285B"/>
    <w:rsid w:val="00692BBA"/>
    <w:rsid w:val="00693680"/>
    <w:rsid w:val="00694A9A"/>
    <w:rsid w:val="00694F17"/>
    <w:rsid w:val="00694F39"/>
    <w:rsid w:val="0069721B"/>
    <w:rsid w:val="00697A67"/>
    <w:rsid w:val="00697BA6"/>
    <w:rsid w:val="00697D66"/>
    <w:rsid w:val="006A0278"/>
    <w:rsid w:val="006A0A91"/>
    <w:rsid w:val="006A0FBC"/>
    <w:rsid w:val="006A1AE2"/>
    <w:rsid w:val="006A1E1D"/>
    <w:rsid w:val="006A3AF4"/>
    <w:rsid w:val="006A4963"/>
    <w:rsid w:val="006A52B8"/>
    <w:rsid w:val="006A5555"/>
    <w:rsid w:val="006A60CD"/>
    <w:rsid w:val="006A6C38"/>
    <w:rsid w:val="006A6CF3"/>
    <w:rsid w:val="006A6E62"/>
    <w:rsid w:val="006B067F"/>
    <w:rsid w:val="006B0DE3"/>
    <w:rsid w:val="006B108B"/>
    <w:rsid w:val="006B234F"/>
    <w:rsid w:val="006B275D"/>
    <w:rsid w:val="006B3D21"/>
    <w:rsid w:val="006B4759"/>
    <w:rsid w:val="006B4BA6"/>
    <w:rsid w:val="006B509E"/>
    <w:rsid w:val="006B574E"/>
    <w:rsid w:val="006B60D5"/>
    <w:rsid w:val="006B7210"/>
    <w:rsid w:val="006B7C5B"/>
    <w:rsid w:val="006C00CD"/>
    <w:rsid w:val="006C0553"/>
    <w:rsid w:val="006C0585"/>
    <w:rsid w:val="006C08E8"/>
    <w:rsid w:val="006C12F1"/>
    <w:rsid w:val="006C1B08"/>
    <w:rsid w:val="006C1DBF"/>
    <w:rsid w:val="006C2AB2"/>
    <w:rsid w:val="006C3672"/>
    <w:rsid w:val="006C3CC4"/>
    <w:rsid w:val="006C3EBE"/>
    <w:rsid w:val="006C40CE"/>
    <w:rsid w:val="006C46B5"/>
    <w:rsid w:val="006C47BA"/>
    <w:rsid w:val="006C55F5"/>
    <w:rsid w:val="006C58E2"/>
    <w:rsid w:val="006C62CE"/>
    <w:rsid w:val="006D0895"/>
    <w:rsid w:val="006D0959"/>
    <w:rsid w:val="006D0A94"/>
    <w:rsid w:val="006D13CB"/>
    <w:rsid w:val="006D22F5"/>
    <w:rsid w:val="006D2635"/>
    <w:rsid w:val="006D39E7"/>
    <w:rsid w:val="006D42B5"/>
    <w:rsid w:val="006D4B0C"/>
    <w:rsid w:val="006D4FCB"/>
    <w:rsid w:val="006D6565"/>
    <w:rsid w:val="006D65BB"/>
    <w:rsid w:val="006D7BB1"/>
    <w:rsid w:val="006E0444"/>
    <w:rsid w:val="006E0487"/>
    <w:rsid w:val="006E0C27"/>
    <w:rsid w:val="006E11CB"/>
    <w:rsid w:val="006E1835"/>
    <w:rsid w:val="006E1851"/>
    <w:rsid w:val="006E1B70"/>
    <w:rsid w:val="006E2049"/>
    <w:rsid w:val="006E224B"/>
    <w:rsid w:val="006E292B"/>
    <w:rsid w:val="006E29EE"/>
    <w:rsid w:val="006E2FEF"/>
    <w:rsid w:val="006E37D1"/>
    <w:rsid w:val="006E3BCD"/>
    <w:rsid w:val="006E3D2E"/>
    <w:rsid w:val="006E3F08"/>
    <w:rsid w:val="006E447E"/>
    <w:rsid w:val="006E5700"/>
    <w:rsid w:val="006E5E42"/>
    <w:rsid w:val="006E6958"/>
    <w:rsid w:val="006E6F62"/>
    <w:rsid w:val="006E713E"/>
    <w:rsid w:val="006E7E82"/>
    <w:rsid w:val="006F013B"/>
    <w:rsid w:val="006F046C"/>
    <w:rsid w:val="006F0D70"/>
    <w:rsid w:val="006F0E9F"/>
    <w:rsid w:val="006F180F"/>
    <w:rsid w:val="006F1842"/>
    <w:rsid w:val="006F30FC"/>
    <w:rsid w:val="006F36DA"/>
    <w:rsid w:val="006F446B"/>
    <w:rsid w:val="006F47D6"/>
    <w:rsid w:val="006F5106"/>
    <w:rsid w:val="006F61AE"/>
    <w:rsid w:val="006F6E27"/>
    <w:rsid w:val="006F6ED1"/>
    <w:rsid w:val="006F6F7D"/>
    <w:rsid w:val="006F7B22"/>
    <w:rsid w:val="0070080C"/>
    <w:rsid w:val="007008AC"/>
    <w:rsid w:val="0070181A"/>
    <w:rsid w:val="007018CB"/>
    <w:rsid w:val="00701B95"/>
    <w:rsid w:val="00701D96"/>
    <w:rsid w:val="00702559"/>
    <w:rsid w:val="007028A8"/>
    <w:rsid w:val="00703007"/>
    <w:rsid w:val="00703431"/>
    <w:rsid w:val="00703AD8"/>
    <w:rsid w:val="00703AE9"/>
    <w:rsid w:val="00703E90"/>
    <w:rsid w:val="00704858"/>
    <w:rsid w:val="007048F6"/>
    <w:rsid w:val="00705059"/>
    <w:rsid w:val="0070551D"/>
    <w:rsid w:val="00706C2A"/>
    <w:rsid w:val="0070779C"/>
    <w:rsid w:val="0071022A"/>
    <w:rsid w:val="00710732"/>
    <w:rsid w:val="00710B20"/>
    <w:rsid w:val="00710EAF"/>
    <w:rsid w:val="00712852"/>
    <w:rsid w:val="0071344C"/>
    <w:rsid w:val="007134D6"/>
    <w:rsid w:val="007136FC"/>
    <w:rsid w:val="00713810"/>
    <w:rsid w:val="00714FCE"/>
    <w:rsid w:val="00715111"/>
    <w:rsid w:val="0071570A"/>
    <w:rsid w:val="00715B85"/>
    <w:rsid w:val="00717007"/>
    <w:rsid w:val="00717523"/>
    <w:rsid w:val="00717C5C"/>
    <w:rsid w:val="00717DDD"/>
    <w:rsid w:val="007213D9"/>
    <w:rsid w:val="007213DE"/>
    <w:rsid w:val="00722CD8"/>
    <w:rsid w:val="00722F05"/>
    <w:rsid w:val="0072372F"/>
    <w:rsid w:val="00723F12"/>
    <w:rsid w:val="007243A1"/>
    <w:rsid w:val="007261FA"/>
    <w:rsid w:val="00726670"/>
    <w:rsid w:val="00726BAC"/>
    <w:rsid w:val="00726E00"/>
    <w:rsid w:val="00730091"/>
    <w:rsid w:val="007306B1"/>
    <w:rsid w:val="00730811"/>
    <w:rsid w:val="00730A4D"/>
    <w:rsid w:val="007312C7"/>
    <w:rsid w:val="00731FE9"/>
    <w:rsid w:val="00732409"/>
    <w:rsid w:val="007325C5"/>
    <w:rsid w:val="007328FE"/>
    <w:rsid w:val="00732ADA"/>
    <w:rsid w:val="0073398F"/>
    <w:rsid w:val="00733AB8"/>
    <w:rsid w:val="007342D1"/>
    <w:rsid w:val="007348DF"/>
    <w:rsid w:val="00734AAA"/>
    <w:rsid w:val="007354CF"/>
    <w:rsid w:val="00736D72"/>
    <w:rsid w:val="00736E4E"/>
    <w:rsid w:val="00740106"/>
    <w:rsid w:val="007406E9"/>
    <w:rsid w:val="00740EC5"/>
    <w:rsid w:val="00741A7A"/>
    <w:rsid w:val="00742ACA"/>
    <w:rsid w:val="0074304F"/>
    <w:rsid w:val="0074435E"/>
    <w:rsid w:val="007444F1"/>
    <w:rsid w:val="007445D2"/>
    <w:rsid w:val="007447F6"/>
    <w:rsid w:val="007449ED"/>
    <w:rsid w:val="00744A22"/>
    <w:rsid w:val="00744CF3"/>
    <w:rsid w:val="00744EA0"/>
    <w:rsid w:val="00745076"/>
    <w:rsid w:val="007450B8"/>
    <w:rsid w:val="007455AE"/>
    <w:rsid w:val="00745F7E"/>
    <w:rsid w:val="007466E3"/>
    <w:rsid w:val="00746707"/>
    <w:rsid w:val="00746757"/>
    <w:rsid w:val="00747E21"/>
    <w:rsid w:val="00747F19"/>
    <w:rsid w:val="00747FC2"/>
    <w:rsid w:val="00750A01"/>
    <w:rsid w:val="00750E87"/>
    <w:rsid w:val="0075140A"/>
    <w:rsid w:val="00751DFC"/>
    <w:rsid w:val="007527D7"/>
    <w:rsid w:val="00752B22"/>
    <w:rsid w:val="00752E90"/>
    <w:rsid w:val="007531D4"/>
    <w:rsid w:val="00753366"/>
    <w:rsid w:val="007533CE"/>
    <w:rsid w:val="007536A1"/>
    <w:rsid w:val="007537AD"/>
    <w:rsid w:val="00753B20"/>
    <w:rsid w:val="00753C22"/>
    <w:rsid w:val="00755970"/>
    <w:rsid w:val="00756361"/>
    <w:rsid w:val="00756483"/>
    <w:rsid w:val="007568E0"/>
    <w:rsid w:val="00757B81"/>
    <w:rsid w:val="00760DF6"/>
    <w:rsid w:val="007611A4"/>
    <w:rsid w:val="00761486"/>
    <w:rsid w:val="007615A7"/>
    <w:rsid w:val="00761919"/>
    <w:rsid w:val="00761BB0"/>
    <w:rsid w:val="0076336A"/>
    <w:rsid w:val="00763486"/>
    <w:rsid w:val="007634BF"/>
    <w:rsid w:val="007636D7"/>
    <w:rsid w:val="007639D5"/>
    <w:rsid w:val="00763A6D"/>
    <w:rsid w:val="00763C71"/>
    <w:rsid w:val="00764847"/>
    <w:rsid w:val="00765CD3"/>
    <w:rsid w:val="007662E0"/>
    <w:rsid w:val="007666D7"/>
    <w:rsid w:val="00766C11"/>
    <w:rsid w:val="00766F0D"/>
    <w:rsid w:val="007674E0"/>
    <w:rsid w:val="00767B8F"/>
    <w:rsid w:val="00767C34"/>
    <w:rsid w:val="00770002"/>
    <w:rsid w:val="0077040E"/>
    <w:rsid w:val="0077079D"/>
    <w:rsid w:val="00770DE5"/>
    <w:rsid w:val="007717CC"/>
    <w:rsid w:val="007717CF"/>
    <w:rsid w:val="0077199A"/>
    <w:rsid w:val="00771F88"/>
    <w:rsid w:val="0077208A"/>
    <w:rsid w:val="007727D9"/>
    <w:rsid w:val="00772974"/>
    <w:rsid w:val="007729D1"/>
    <w:rsid w:val="00772CCD"/>
    <w:rsid w:val="00773270"/>
    <w:rsid w:val="00773A8C"/>
    <w:rsid w:val="00773CB9"/>
    <w:rsid w:val="00774FD5"/>
    <w:rsid w:val="0077548B"/>
    <w:rsid w:val="007759C8"/>
    <w:rsid w:val="00776124"/>
    <w:rsid w:val="00776806"/>
    <w:rsid w:val="00776A04"/>
    <w:rsid w:val="00776C5D"/>
    <w:rsid w:val="00776CA9"/>
    <w:rsid w:val="0078049A"/>
    <w:rsid w:val="0078058D"/>
    <w:rsid w:val="0078103A"/>
    <w:rsid w:val="007821CC"/>
    <w:rsid w:val="0078230B"/>
    <w:rsid w:val="0078264B"/>
    <w:rsid w:val="0078273A"/>
    <w:rsid w:val="007843E6"/>
    <w:rsid w:val="00784D45"/>
    <w:rsid w:val="00785EAE"/>
    <w:rsid w:val="00785FD8"/>
    <w:rsid w:val="007860F8"/>
    <w:rsid w:val="00787343"/>
    <w:rsid w:val="007873EB"/>
    <w:rsid w:val="00790CAA"/>
    <w:rsid w:val="00791518"/>
    <w:rsid w:val="0079210D"/>
    <w:rsid w:val="007924E6"/>
    <w:rsid w:val="00792F83"/>
    <w:rsid w:val="00794A27"/>
    <w:rsid w:val="00794B07"/>
    <w:rsid w:val="00794F01"/>
    <w:rsid w:val="00795CA8"/>
    <w:rsid w:val="00795FF4"/>
    <w:rsid w:val="007961A5"/>
    <w:rsid w:val="00796D96"/>
    <w:rsid w:val="00797057"/>
    <w:rsid w:val="00797149"/>
    <w:rsid w:val="007977F7"/>
    <w:rsid w:val="00797C84"/>
    <w:rsid w:val="00797FDB"/>
    <w:rsid w:val="007A056A"/>
    <w:rsid w:val="007A07BA"/>
    <w:rsid w:val="007A1AB7"/>
    <w:rsid w:val="007A1FA6"/>
    <w:rsid w:val="007A2481"/>
    <w:rsid w:val="007A3139"/>
    <w:rsid w:val="007A330B"/>
    <w:rsid w:val="007A4242"/>
    <w:rsid w:val="007A5BE3"/>
    <w:rsid w:val="007A5DED"/>
    <w:rsid w:val="007A5E2B"/>
    <w:rsid w:val="007A6928"/>
    <w:rsid w:val="007A7183"/>
    <w:rsid w:val="007A73EA"/>
    <w:rsid w:val="007B0154"/>
    <w:rsid w:val="007B232E"/>
    <w:rsid w:val="007B262B"/>
    <w:rsid w:val="007B2908"/>
    <w:rsid w:val="007B2B07"/>
    <w:rsid w:val="007B2BC3"/>
    <w:rsid w:val="007B3216"/>
    <w:rsid w:val="007B4850"/>
    <w:rsid w:val="007B53C4"/>
    <w:rsid w:val="007B5832"/>
    <w:rsid w:val="007B5C92"/>
    <w:rsid w:val="007B5E14"/>
    <w:rsid w:val="007B5E18"/>
    <w:rsid w:val="007B6A56"/>
    <w:rsid w:val="007B799C"/>
    <w:rsid w:val="007B7C86"/>
    <w:rsid w:val="007C010F"/>
    <w:rsid w:val="007C0D57"/>
    <w:rsid w:val="007C1974"/>
    <w:rsid w:val="007C21DB"/>
    <w:rsid w:val="007C2876"/>
    <w:rsid w:val="007C2A6B"/>
    <w:rsid w:val="007C2D9C"/>
    <w:rsid w:val="007C3048"/>
    <w:rsid w:val="007C4D17"/>
    <w:rsid w:val="007C4D1E"/>
    <w:rsid w:val="007C574C"/>
    <w:rsid w:val="007C5A27"/>
    <w:rsid w:val="007C67E5"/>
    <w:rsid w:val="007D1543"/>
    <w:rsid w:val="007D1B80"/>
    <w:rsid w:val="007D2A1D"/>
    <w:rsid w:val="007D3992"/>
    <w:rsid w:val="007D3F6D"/>
    <w:rsid w:val="007D5072"/>
    <w:rsid w:val="007D5A39"/>
    <w:rsid w:val="007D62F0"/>
    <w:rsid w:val="007D70E2"/>
    <w:rsid w:val="007D7901"/>
    <w:rsid w:val="007D7E1D"/>
    <w:rsid w:val="007E04CF"/>
    <w:rsid w:val="007E0912"/>
    <w:rsid w:val="007E1370"/>
    <w:rsid w:val="007E29C1"/>
    <w:rsid w:val="007E2B91"/>
    <w:rsid w:val="007E392D"/>
    <w:rsid w:val="007E4585"/>
    <w:rsid w:val="007E49FD"/>
    <w:rsid w:val="007E4C6D"/>
    <w:rsid w:val="007E4D0C"/>
    <w:rsid w:val="007E5A02"/>
    <w:rsid w:val="007E5D1F"/>
    <w:rsid w:val="007E5DCB"/>
    <w:rsid w:val="007E703C"/>
    <w:rsid w:val="007E7D79"/>
    <w:rsid w:val="007F10A0"/>
    <w:rsid w:val="007F11B6"/>
    <w:rsid w:val="007F1AC7"/>
    <w:rsid w:val="007F254A"/>
    <w:rsid w:val="007F2E96"/>
    <w:rsid w:val="007F3DC5"/>
    <w:rsid w:val="007F41FB"/>
    <w:rsid w:val="007F45D4"/>
    <w:rsid w:val="007F4BDE"/>
    <w:rsid w:val="007F6222"/>
    <w:rsid w:val="007F6799"/>
    <w:rsid w:val="007F6DF7"/>
    <w:rsid w:val="007F73A8"/>
    <w:rsid w:val="007F74A9"/>
    <w:rsid w:val="007F778B"/>
    <w:rsid w:val="007F7DA0"/>
    <w:rsid w:val="00800C75"/>
    <w:rsid w:val="00800E12"/>
    <w:rsid w:val="00801D32"/>
    <w:rsid w:val="00802211"/>
    <w:rsid w:val="00802351"/>
    <w:rsid w:val="008023D0"/>
    <w:rsid w:val="00802443"/>
    <w:rsid w:val="0080359C"/>
    <w:rsid w:val="008035BB"/>
    <w:rsid w:val="00803883"/>
    <w:rsid w:val="00804F78"/>
    <w:rsid w:val="00804F83"/>
    <w:rsid w:val="008101E0"/>
    <w:rsid w:val="00810881"/>
    <w:rsid w:val="00810996"/>
    <w:rsid w:val="00811340"/>
    <w:rsid w:val="00811D8A"/>
    <w:rsid w:val="00811EDD"/>
    <w:rsid w:val="0081221C"/>
    <w:rsid w:val="00812821"/>
    <w:rsid w:val="008128D6"/>
    <w:rsid w:val="00812C16"/>
    <w:rsid w:val="0081322F"/>
    <w:rsid w:val="00814690"/>
    <w:rsid w:val="00814808"/>
    <w:rsid w:val="00814DA1"/>
    <w:rsid w:val="00814DB0"/>
    <w:rsid w:val="008155E5"/>
    <w:rsid w:val="00815BE9"/>
    <w:rsid w:val="008168F1"/>
    <w:rsid w:val="00817BB4"/>
    <w:rsid w:val="008200A7"/>
    <w:rsid w:val="008202E2"/>
    <w:rsid w:val="0082077C"/>
    <w:rsid w:val="00822391"/>
    <w:rsid w:val="008227A5"/>
    <w:rsid w:val="00822C05"/>
    <w:rsid w:val="00823BDD"/>
    <w:rsid w:val="008242DF"/>
    <w:rsid w:val="00824B68"/>
    <w:rsid w:val="00824D96"/>
    <w:rsid w:val="00825765"/>
    <w:rsid w:val="00825B36"/>
    <w:rsid w:val="00825E71"/>
    <w:rsid w:val="00825F50"/>
    <w:rsid w:val="00826111"/>
    <w:rsid w:val="00826D62"/>
    <w:rsid w:val="00827611"/>
    <w:rsid w:val="008300D9"/>
    <w:rsid w:val="008302D5"/>
    <w:rsid w:val="00830364"/>
    <w:rsid w:val="008315DA"/>
    <w:rsid w:val="00831C36"/>
    <w:rsid w:val="008326D3"/>
    <w:rsid w:val="008328CC"/>
    <w:rsid w:val="00832EC5"/>
    <w:rsid w:val="008336E4"/>
    <w:rsid w:val="0083450F"/>
    <w:rsid w:val="00835245"/>
    <w:rsid w:val="00835A00"/>
    <w:rsid w:val="00835FA8"/>
    <w:rsid w:val="008366E2"/>
    <w:rsid w:val="008367D5"/>
    <w:rsid w:val="00837A44"/>
    <w:rsid w:val="00837C37"/>
    <w:rsid w:val="00837D5E"/>
    <w:rsid w:val="008402B3"/>
    <w:rsid w:val="008402F1"/>
    <w:rsid w:val="00840BD7"/>
    <w:rsid w:val="00841244"/>
    <w:rsid w:val="00841A21"/>
    <w:rsid w:val="00841DE6"/>
    <w:rsid w:val="00843A17"/>
    <w:rsid w:val="00846336"/>
    <w:rsid w:val="008469D0"/>
    <w:rsid w:val="00847738"/>
    <w:rsid w:val="00847ACC"/>
    <w:rsid w:val="00847DBD"/>
    <w:rsid w:val="00847E01"/>
    <w:rsid w:val="0085048B"/>
    <w:rsid w:val="00850741"/>
    <w:rsid w:val="00850AE4"/>
    <w:rsid w:val="00850BCD"/>
    <w:rsid w:val="00852BEE"/>
    <w:rsid w:val="00853C1A"/>
    <w:rsid w:val="0085589C"/>
    <w:rsid w:val="008567F7"/>
    <w:rsid w:val="00856A66"/>
    <w:rsid w:val="008576BF"/>
    <w:rsid w:val="00857B98"/>
    <w:rsid w:val="0086018B"/>
    <w:rsid w:val="0086188F"/>
    <w:rsid w:val="00861CF9"/>
    <w:rsid w:val="00863693"/>
    <w:rsid w:val="008638FF"/>
    <w:rsid w:val="00863D96"/>
    <w:rsid w:val="008641B2"/>
    <w:rsid w:val="00865262"/>
    <w:rsid w:val="0086619C"/>
    <w:rsid w:val="008665A4"/>
    <w:rsid w:val="00866659"/>
    <w:rsid w:val="00866C0E"/>
    <w:rsid w:val="008671F5"/>
    <w:rsid w:val="008677A7"/>
    <w:rsid w:val="0086784E"/>
    <w:rsid w:val="00867C06"/>
    <w:rsid w:val="00867E29"/>
    <w:rsid w:val="00870061"/>
    <w:rsid w:val="00870474"/>
    <w:rsid w:val="00870AB8"/>
    <w:rsid w:val="00870BC8"/>
    <w:rsid w:val="00870F62"/>
    <w:rsid w:val="008717B1"/>
    <w:rsid w:val="00871EE0"/>
    <w:rsid w:val="00872377"/>
    <w:rsid w:val="008723A6"/>
    <w:rsid w:val="00872632"/>
    <w:rsid w:val="0087267E"/>
    <w:rsid w:val="00872797"/>
    <w:rsid w:val="00872A34"/>
    <w:rsid w:val="008734C0"/>
    <w:rsid w:val="008739A9"/>
    <w:rsid w:val="008742DD"/>
    <w:rsid w:val="00874448"/>
    <w:rsid w:val="00874867"/>
    <w:rsid w:val="00874FA1"/>
    <w:rsid w:val="0087535C"/>
    <w:rsid w:val="00876328"/>
    <w:rsid w:val="00876B6D"/>
    <w:rsid w:val="00877436"/>
    <w:rsid w:val="00881344"/>
    <w:rsid w:val="0088165F"/>
    <w:rsid w:val="008817F2"/>
    <w:rsid w:val="0088186A"/>
    <w:rsid w:val="0088415D"/>
    <w:rsid w:val="00884C1B"/>
    <w:rsid w:val="00885771"/>
    <w:rsid w:val="00885C6C"/>
    <w:rsid w:val="00885FEA"/>
    <w:rsid w:val="00887560"/>
    <w:rsid w:val="008903CD"/>
    <w:rsid w:val="00890853"/>
    <w:rsid w:val="00890B2D"/>
    <w:rsid w:val="00891077"/>
    <w:rsid w:val="00891DC4"/>
    <w:rsid w:val="00892D67"/>
    <w:rsid w:val="00892DF0"/>
    <w:rsid w:val="00892ED2"/>
    <w:rsid w:val="008940DB"/>
    <w:rsid w:val="00896150"/>
    <w:rsid w:val="00896517"/>
    <w:rsid w:val="00897DA4"/>
    <w:rsid w:val="008A112E"/>
    <w:rsid w:val="008A11AD"/>
    <w:rsid w:val="008A124B"/>
    <w:rsid w:val="008A1D7E"/>
    <w:rsid w:val="008A1EA5"/>
    <w:rsid w:val="008A21B9"/>
    <w:rsid w:val="008A237A"/>
    <w:rsid w:val="008A2719"/>
    <w:rsid w:val="008A2BF1"/>
    <w:rsid w:val="008A4063"/>
    <w:rsid w:val="008A549F"/>
    <w:rsid w:val="008A598D"/>
    <w:rsid w:val="008A5EC2"/>
    <w:rsid w:val="008A63DC"/>
    <w:rsid w:val="008A6D7C"/>
    <w:rsid w:val="008A733D"/>
    <w:rsid w:val="008A7579"/>
    <w:rsid w:val="008A7696"/>
    <w:rsid w:val="008A7999"/>
    <w:rsid w:val="008B0B4D"/>
    <w:rsid w:val="008B114E"/>
    <w:rsid w:val="008B16A2"/>
    <w:rsid w:val="008B18A7"/>
    <w:rsid w:val="008B3792"/>
    <w:rsid w:val="008B3882"/>
    <w:rsid w:val="008B38A1"/>
    <w:rsid w:val="008B45A6"/>
    <w:rsid w:val="008B4B78"/>
    <w:rsid w:val="008B4DE1"/>
    <w:rsid w:val="008B5B23"/>
    <w:rsid w:val="008B6348"/>
    <w:rsid w:val="008B6443"/>
    <w:rsid w:val="008B7B00"/>
    <w:rsid w:val="008C0784"/>
    <w:rsid w:val="008C0A01"/>
    <w:rsid w:val="008C0FAB"/>
    <w:rsid w:val="008C18B7"/>
    <w:rsid w:val="008C1E66"/>
    <w:rsid w:val="008C1E9F"/>
    <w:rsid w:val="008C2285"/>
    <w:rsid w:val="008C28AC"/>
    <w:rsid w:val="008C2C84"/>
    <w:rsid w:val="008C3D3B"/>
    <w:rsid w:val="008C3D96"/>
    <w:rsid w:val="008C4630"/>
    <w:rsid w:val="008C5512"/>
    <w:rsid w:val="008C617B"/>
    <w:rsid w:val="008C6A69"/>
    <w:rsid w:val="008C7146"/>
    <w:rsid w:val="008C7249"/>
    <w:rsid w:val="008C7677"/>
    <w:rsid w:val="008C7F7B"/>
    <w:rsid w:val="008D0C1D"/>
    <w:rsid w:val="008D0C8A"/>
    <w:rsid w:val="008D0F04"/>
    <w:rsid w:val="008D128A"/>
    <w:rsid w:val="008D153C"/>
    <w:rsid w:val="008D172F"/>
    <w:rsid w:val="008D1DAC"/>
    <w:rsid w:val="008D2503"/>
    <w:rsid w:val="008D3404"/>
    <w:rsid w:val="008D3A33"/>
    <w:rsid w:val="008D3A7B"/>
    <w:rsid w:val="008D4DAB"/>
    <w:rsid w:val="008D51AC"/>
    <w:rsid w:val="008D5A6F"/>
    <w:rsid w:val="008D5DAD"/>
    <w:rsid w:val="008D601F"/>
    <w:rsid w:val="008D6896"/>
    <w:rsid w:val="008D7943"/>
    <w:rsid w:val="008D7C52"/>
    <w:rsid w:val="008E007F"/>
    <w:rsid w:val="008E0E53"/>
    <w:rsid w:val="008E1315"/>
    <w:rsid w:val="008E2428"/>
    <w:rsid w:val="008E2883"/>
    <w:rsid w:val="008E2B7A"/>
    <w:rsid w:val="008E2DAB"/>
    <w:rsid w:val="008E2DEA"/>
    <w:rsid w:val="008E2E90"/>
    <w:rsid w:val="008E2F84"/>
    <w:rsid w:val="008E4067"/>
    <w:rsid w:val="008E4767"/>
    <w:rsid w:val="008E4AAB"/>
    <w:rsid w:val="008E4B17"/>
    <w:rsid w:val="008E4E3A"/>
    <w:rsid w:val="008E56BF"/>
    <w:rsid w:val="008E5835"/>
    <w:rsid w:val="008E6432"/>
    <w:rsid w:val="008E64FB"/>
    <w:rsid w:val="008E6C41"/>
    <w:rsid w:val="008E7711"/>
    <w:rsid w:val="008E7DA2"/>
    <w:rsid w:val="008E7F84"/>
    <w:rsid w:val="008E7FB0"/>
    <w:rsid w:val="008F011A"/>
    <w:rsid w:val="008F0DD8"/>
    <w:rsid w:val="008F1749"/>
    <w:rsid w:val="008F2019"/>
    <w:rsid w:val="008F20E1"/>
    <w:rsid w:val="008F2128"/>
    <w:rsid w:val="008F247F"/>
    <w:rsid w:val="008F2B9A"/>
    <w:rsid w:val="008F47DD"/>
    <w:rsid w:val="008F48A2"/>
    <w:rsid w:val="008F4F4F"/>
    <w:rsid w:val="008F5232"/>
    <w:rsid w:val="008F5BB9"/>
    <w:rsid w:val="008F62BE"/>
    <w:rsid w:val="008F6E36"/>
    <w:rsid w:val="008F7958"/>
    <w:rsid w:val="00900666"/>
    <w:rsid w:val="00901003"/>
    <w:rsid w:val="009012BE"/>
    <w:rsid w:val="00901724"/>
    <w:rsid w:val="0090304C"/>
    <w:rsid w:val="00903120"/>
    <w:rsid w:val="00903820"/>
    <w:rsid w:val="00903F33"/>
    <w:rsid w:val="00905661"/>
    <w:rsid w:val="00905F2B"/>
    <w:rsid w:val="00906159"/>
    <w:rsid w:val="009072D5"/>
    <w:rsid w:val="00907516"/>
    <w:rsid w:val="00907779"/>
    <w:rsid w:val="009078BB"/>
    <w:rsid w:val="00907CE1"/>
    <w:rsid w:val="00907D18"/>
    <w:rsid w:val="00910861"/>
    <w:rsid w:val="0091092F"/>
    <w:rsid w:val="0091264B"/>
    <w:rsid w:val="009127F5"/>
    <w:rsid w:val="00912E5D"/>
    <w:rsid w:val="00913228"/>
    <w:rsid w:val="00913657"/>
    <w:rsid w:val="00913CD2"/>
    <w:rsid w:val="00913E30"/>
    <w:rsid w:val="00913EB6"/>
    <w:rsid w:val="00913FB1"/>
    <w:rsid w:val="009153A6"/>
    <w:rsid w:val="009154E5"/>
    <w:rsid w:val="00915A65"/>
    <w:rsid w:val="00915B5A"/>
    <w:rsid w:val="009161C9"/>
    <w:rsid w:val="00917F9A"/>
    <w:rsid w:val="00920056"/>
    <w:rsid w:val="00920D29"/>
    <w:rsid w:val="0092133B"/>
    <w:rsid w:val="009215DA"/>
    <w:rsid w:val="00921709"/>
    <w:rsid w:val="00921B78"/>
    <w:rsid w:val="00921D3E"/>
    <w:rsid w:val="009226D9"/>
    <w:rsid w:val="00922A71"/>
    <w:rsid w:val="00923925"/>
    <w:rsid w:val="00925E48"/>
    <w:rsid w:val="009262C9"/>
    <w:rsid w:val="0092669E"/>
    <w:rsid w:val="009272E3"/>
    <w:rsid w:val="009314AA"/>
    <w:rsid w:val="009314E1"/>
    <w:rsid w:val="0093338D"/>
    <w:rsid w:val="0093383A"/>
    <w:rsid w:val="00934150"/>
    <w:rsid w:val="00934537"/>
    <w:rsid w:val="00934783"/>
    <w:rsid w:val="009347F0"/>
    <w:rsid w:val="00934E2F"/>
    <w:rsid w:val="009353B0"/>
    <w:rsid w:val="009359F9"/>
    <w:rsid w:val="00935E64"/>
    <w:rsid w:val="00937CB6"/>
    <w:rsid w:val="009405B5"/>
    <w:rsid w:val="0094093C"/>
    <w:rsid w:val="00940B9C"/>
    <w:rsid w:val="00941173"/>
    <w:rsid w:val="00941384"/>
    <w:rsid w:val="009414A2"/>
    <w:rsid w:val="009418F1"/>
    <w:rsid w:val="009418FA"/>
    <w:rsid w:val="00941902"/>
    <w:rsid w:val="00941984"/>
    <w:rsid w:val="00941AD0"/>
    <w:rsid w:val="00941AEF"/>
    <w:rsid w:val="00942D54"/>
    <w:rsid w:val="0094314F"/>
    <w:rsid w:val="0094531C"/>
    <w:rsid w:val="00945934"/>
    <w:rsid w:val="009463FA"/>
    <w:rsid w:val="009464ED"/>
    <w:rsid w:val="009467E9"/>
    <w:rsid w:val="009503A9"/>
    <w:rsid w:val="00951462"/>
    <w:rsid w:val="00951BBB"/>
    <w:rsid w:val="009525F1"/>
    <w:rsid w:val="009531B1"/>
    <w:rsid w:val="009532CD"/>
    <w:rsid w:val="009536EE"/>
    <w:rsid w:val="00953A18"/>
    <w:rsid w:val="00953A49"/>
    <w:rsid w:val="00953A6F"/>
    <w:rsid w:val="00954603"/>
    <w:rsid w:val="009546C9"/>
    <w:rsid w:val="00954BF4"/>
    <w:rsid w:val="00955116"/>
    <w:rsid w:val="00955397"/>
    <w:rsid w:val="00955C0E"/>
    <w:rsid w:val="00955CBD"/>
    <w:rsid w:val="00956E9A"/>
    <w:rsid w:val="00957330"/>
    <w:rsid w:val="00957625"/>
    <w:rsid w:val="00957AB1"/>
    <w:rsid w:val="00957FB4"/>
    <w:rsid w:val="00961146"/>
    <w:rsid w:val="0096114E"/>
    <w:rsid w:val="00961B8E"/>
    <w:rsid w:val="00961C6F"/>
    <w:rsid w:val="00962736"/>
    <w:rsid w:val="0096274E"/>
    <w:rsid w:val="0096393C"/>
    <w:rsid w:val="00963A34"/>
    <w:rsid w:val="00963DBF"/>
    <w:rsid w:val="00964116"/>
    <w:rsid w:val="00965063"/>
    <w:rsid w:val="009656A9"/>
    <w:rsid w:val="00965B59"/>
    <w:rsid w:val="009660E1"/>
    <w:rsid w:val="00966668"/>
    <w:rsid w:val="0097011D"/>
    <w:rsid w:val="0097035B"/>
    <w:rsid w:val="009704C6"/>
    <w:rsid w:val="00970BB1"/>
    <w:rsid w:val="00970E68"/>
    <w:rsid w:val="00971279"/>
    <w:rsid w:val="00971CE0"/>
    <w:rsid w:val="00971D4C"/>
    <w:rsid w:val="00971E67"/>
    <w:rsid w:val="00971EE7"/>
    <w:rsid w:val="009724C2"/>
    <w:rsid w:val="009724D3"/>
    <w:rsid w:val="00972A70"/>
    <w:rsid w:val="00972DFE"/>
    <w:rsid w:val="00973633"/>
    <w:rsid w:val="00973687"/>
    <w:rsid w:val="00973BDC"/>
    <w:rsid w:val="00973D23"/>
    <w:rsid w:val="0097427F"/>
    <w:rsid w:val="009747DC"/>
    <w:rsid w:val="00974CB4"/>
    <w:rsid w:val="00974D9A"/>
    <w:rsid w:val="00975115"/>
    <w:rsid w:val="00976408"/>
    <w:rsid w:val="00976924"/>
    <w:rsid w:val="00976A53"/>
    <w:rsid w:val="00977BAE"/>
    <w:rsid w:val="00977DB9"/>
    <w:rsid w:val="0098003E"/>
    <w:rsid w:val="009808F6"/>
    <w:rsid w:val="00981256"/>
    <w:rsid w:val="00981A77"/>
    <w:rsid w:val="00981BA1"/>
    <w:rsid w:val="009827F1"/>
    <w:rsid w:val="00982D50"/>
    <w:rsid w:val="00982FFD"/>
    <w:rsid w:val="0098326B"/>
    <w:rsid w:val="00983A3E"/>
    <w:rsid w:val="009842E9"/>
    <w:rsid w:val="00984CAF"/>
    <w:rsid w:val="00987182"/>
    <w:rsid w:val="00987362"/>
    <w:rsid w:val="0098781A"/>
    <w:rsid w:val="00987A78"/>
    <w:rsid w:val="00987E4D"/>
    <w:rsid w:val="00990320"/>
    <w:rsid w:val="00991516"/>
    <w:rsid w:val="009923F8"/>
    <w:rsid w:val="0099411A"/>
    <w:rsid w:val="00994221"/>
    <w:rsid w:val="00994526"/>
    <w:rsid w:val="00995C75"/>
    <w:rsid w:val="00995D95"/>
    <w:rsid w:val="00995E38"/>
    <w:rsid w:val="00996C69"/>
    <w:rsid w:val="00996ED9"/>
    <w:rsid w:val="009970D6"/>
    <w:rsid w:val="009A0E6D"/>
    <w:rsid w:val="009A0F22"/>
    <w:rsid w:val="009A1E5E"/>
    <w:rsid w:val="009A1E61"/>
    <w:rsid w:val="009A2BE3"/>
    <w:rsid w:val="009A2D4D"/>
    <w:rsid w:val="009A3A69"/>
    <w:rsid w:val="009A3F6E"/>
    <w:rsid w:val="009A48F8"/>
    <w:rsid w:val="009A4B4A"/>
    <w:rsid w:val="009A5987"/>
    <w:rsid w:val="009A5A62"/>
    <w:rsid w:val="009A602B"/>
    <w:rsid w:val="009A6A4F"/>
    <w:rsid w:val="009A6BC0"/>
    <w:rsid w:val="009A6CD8"/>
    <w:rsid w:val="009B038A"/>
    <w:rsid w:val="009B07C1"/>
    <w:rsid w:val="009B130C"/>
    <w:rsid w:val="009B2403"/>
    <w:rsid w:val="009B5042"/>
    <w:rsid w:val="009B5A4C"/>
    <w:rsid w:val="009B5ABF"/>
    <w:rsid w:val="009B5F57"/>
    <w:rsid w:val="009B6CC4"/>
    <w:rsid w:val="009B7327"/>
    <w:rsid w:val="009B7EDD"/>
    <w:rsid w:val="009C0044"/>
    <w:rsid w:val="009C1CB2"/>
    <w:rsid w:val="009C1DA4"/>
    <w:rsid w:val="009C1F57"/>
    <w:rsid w:val="009C26AA"/>
    <w:rsid w:val="009C2B15"/>
    <w:rsid w:val="009C2D02"/>
    <w:rsid w:val="009C2DC3"/>
    <w:rsid w:val="009C3210"/>
    <w:rsid w:val="009C4351"/>
    <w:rsid w:val="009C4578"/>
    <w:rsid w:val="009C5DFC"/>
    <w:rsid w:val="009C5F79"/>
    <w:rsid w:val="009C725B"/>
    <w:rsid w:val="009C7B9A"/>
    <w:rsid w:val="009C7F38"/>
    <w:rsid w:val="009D1644"/>
    <w:rsid w:val="009D18FD"/>
    <w:rsid w:val="009D2021"/>
    <w:rsid w:val="009D2853"/>
    <w:rsid w:val="009D29C6"/>
    <w:rsid w:val="009D35EC"/>
    <w:rsid w:val="009D3C10"/>
    <w:rsid w:val="009D3EAC"/>
    <w:rsid w:val="009D4184"/>
    <w:rsid w:val="009D55FA"/>
    <w:rsid w:val="009D6A2E"/>
    <w:rsid w:val="009D715A"/>
    <w:rsid w:val="009D765A"/>
    <w:rsid w:val="009E1797"/>
    <w:rsid w:val="009E1BAC"/>
    <w:rsid w:val="009E279E"/>
    <w:rsid w:val="009E2C26"/>
    <w:rsid w:val="009E2E4B"/>
    <w:rsid w:val="009E32BC"/>
    <w:rsid w:val="009E389B"/>
    <w:rsid w:val="009E3E60"/>
    <w:rsid w:val="009E4BB7"/>
    <w:rsid w:val="009E4E32"/>
    <w:rsid w:val="009E605E"/>
    <w:rsid w:val="009E7C7C"/>
    <w:rsid w:val="009F04F7"/>
    <w:rsid w:val="009F134A"/>
    <w:rsid w:val="009F1759"/>
    <w:rsid w:val="009F19B8"/>
    <w:rsid w:val="009F1D12"/>
    <w:rsid w:val="009F1D63"/>
    <w:rsid w:val="009F27B2"/>
    <w:rsid w:val="009F2918"/>
    <w:rsid w:val="009F2AF3"/>
    <w:rsid w:val="009F3181"/>
    <w:rsid w:val="009F3404"/>
    <w:rsid w:val="009F3E90"/>
    <w:rsid w:val="009F515C"/>
    <w:rsid w:val="009F5A7B"/>
    <w:rsid w:val="009F5F2B"/>
    <w:rsid w:val="009F746C"/>
    <w:rsid w:val="009F74B3"/>
    <w:rsid w:val="009F7667"/>
    <w:rsid w:val="009F769C"/>
    <w:rsid w:val="009F7F45"/>
    <w:rsid w:val="009F7F4D"/>
    <w:rsid w:val="00A00306"/>
    <w:rsid w:val="00A004C7"/>
    <w:rsid w:val="00A018D6"/>
    <w:rsid w:val="00A03622"/>
    <w:rsid w:val="00A050ED"/>
    <w:rsid w:val="00A05205"/>
    <w:rsid w:val="00A05799"/>
    <w:rsid w:val="00A06876"/>
    <w:rsid w:val="00A07649"/>
    <w:rsid w:val="00A077C0"/>
    <w:rsid w:val="00A07F04"/>
    <w:rsid w:val="00A07F66"/>
    <w:rsid w:val="00A108F2"/>
    <w:rsid w:val="00A10F30"/>
    <w:rsid w:val="00A114C3"/>
    <w:rsid w:val="00A11628"/>
    <w:rsid w:val="00A119DB"/>
    <w:rsid w:val="00A120A6"/>
    <w:rsid w:val="00A1212B"/>
    <w:rsid w:val="00A130C1"/>
    <w:rsid w:val="00A137F7"/>
    <w:rsid w:val="00A13FB6"/>
    <w:rsid w:val="00A14D73"/>
    <w:rsid w:val="00A1509B"/>
    <w:rsid w:val="00A15915"/>
    <w:rsid w:val="00A15B13"/>
    <w:rsid w:val="00A15CE2"/>
    <w:rsid w:val="00A15E94"/>
    <w:rsid w:val="00A15F10"/>
    <w:rsid w:val="00A165A7"/>
    <w:rsid w:val="00A16688"/>
    <w:rsid w:val="00A17D8F"/>
    <w:rsid w:val="00A17E3C"/>
    <w:rsid w:val="00A20651"/>
    <w:rsid w:val="00A2081F"/>
    <w:rsid w:val="00A2135A"/>
    <w:rsid w:val="00A2136B"/>
    <w:rsid w:val="00A21CB6"/>
    <w:rsid w:val="00A22286"/>
    <w:rsid w:val="00A2252B"/>
    <w:rsid w:val="00A241E0"/>
    <w:rsid w:val="00A24C27"/>
    <w:rsid w:val="00A254D0"/>
    <w:rsid w:val="00A269CD"/>
    <w:rsid w:val="00A26CF5"/>
    <w:rsid w:val="00A26D78"/>
    <w:rsid w:val="00A279E1"/>
    <w:rsid w:val="00A27EE3"/>
    <w:rsid w:val="00A30D1E"/>
    <w:rsid w:val="00A31F65"/>
    <w:rsid w:val="00A323A4"/>
    <w:rsid w:val="00A34403"/>
    <w:rsid w:val="00A34845"/>
    <w:rsid w:val="00A34EFD"/>
    <w:rsid w:val="00A359A0"/>
    <w:rsid w:val="00A3633B"/>
    <w:rsid w:val="00A364FA"/>
    <w:rsid w:val="00A37481"/>
    <w:rsid w:val="00A374A0"/>
    <w:rsid w:val="00A3787A"/>
    <w:rsid w:val="00A37DCA"/>
    <w:rsid w:val="00A408BA"/>
    <w:rsid w:val="00A40A4A"/>
    <w:rsid w:val="00A40CF6"/>
    <w:rsid w:val="00A40D79"/>
    <w:rsid w:val="00A4134B"/>
    <w:rsid w:val="00A41471"/>
    <w:rsid w:val="00A4207C"/>
    <w:rsid w:val="00A43FCE"/>
    <w:rsid w:val="00A44664"/>
    <w:rsid w:val="00A451AF"/>
    <w:rsid w:val="00A4586A"/>
    <w:rsid w:val="00A4639B"/>
    <w:rsid w:val="00A4705C"/>
    <w:rsid w:val="00A472F9"/>
    <w:rsid w:val="00A47759"/>
    <w:rsid w:val="00A47C27"/>
    <w:rsid w:val="00A507F0"/>
    <w:rsid w:val="00A50A22"/>
    <w:rsid w:val="00A513D8"/>
    <w:rsid w:val="00A51A38"/>
    <w:rsid w:val="00A52872"/>
    <w:rsid w:val="00A52924"/>
    <w:rsid w:val="00A529E6"/>
    <w:rsid w:val="00A52CBA"/>
    <w:rsid w:val="00A53338"/>
    <w:rsid w:val="00A5391C"/>
    <w:rsid w:val="00A543A0"/>
    <w:rsid w:val="00A54856"/>
    <w:rsid w:val="00A54C85"/>
    <w:rsid w:val="00A55FC1"/>
    <w:rsid w:val="00A561B5"/>
    <w:rsid w:val="00A56DAB"/>
    <w:rsid w:val="00A575B9"/>
    <w:rsid w:val="00A616FD"/>
    <w:rsid w:val="00A618D5"/>
    <w:rsid w:val="00A620ED"/>
    <w:rsid w:val="00A62224"/>
    <w:rsid w:val="00A627CD"/>
    <w:rsid w:val="00A62F2A"/>
    <w:rsid w:val="00A6462D"/>
    <w:rsid w:val="00A64E78"/>
    <w:rsid w:val="00A64FF6"/>
    <w:rsid w:val="00A6523D"/>
    <w:rsid w:val="00A65769"/>
    <w:rsid w:val="00A6583C"/>
    <w:rsid w:val="00A65994"/>
    <w:rsid w:val="00A66F6F"/>
    <w:rsid w:val="00A675F3"/>
    <w:rsid w:val="00A70C51"/>
    <w:rsid w:val="00A71048"/>
    <w:rsid w:val="00A723E9"/>
    <w:rsid w:val="00A7326C"/>
    <w:rsid w:val="00A73575"/>
    <w:rsid w:val="00A756C0"/>
    <w:rsid w:val="00A75D16"/>
    <w:rsid w:val="00A7614F"/>
    <w:rsid w:val="00A765C6"/>
    <w:rsid w:val="00A76AAE"/>
    <w:rsid w:val="00A76F20"/>
    <w:rsid w:val="00A77C22"/>
    <w:rsid w:val="00A80229"/>
    <w:rsid w:val="00A805FC"/>
    <w:rsid w:val="00A80E90"/>
    <w:rsid w:val="00A81E54"/>
    <w:rsid w:val="00A821D0"/>
    <w:rsid w:val="00A821F8"/>
    <w:rsid w:val="00A82522"/>
    <w:rsid w:val="00A82B5C"/>
    <w:rsid w:val="00A83003"/>
    <w:rsid w:val="00A83A66"/>
    <w:rsid w:val="00A85EB5"/>
    <w:rsid w:val="00A871DC"/>
    <w:rsid w:val="00A87760"/>
    <w:rsid w:val="00A87FBD"/>
    <w:rsid w:val="00A915BF"/>
    <w:rsid w:val="00A9161F"/>
    <w:rsid w:val="00A91E28"/>
    <w:rsid w:val="00A924B5"/>
    <w:rsid w:val="00A92685"/>
    <w:rsid w:val="00A92FDA"/>
    <w:rsid w:val="00A9375F"/>
    <w:rsid w:val="00A944F3"/>
    <w:rsid w:val="00A94A9D"/>
    <w:rsid w:val="00A970AA"/>
    <w:rsid w:val="00A97406"/>
    <w:rsid w:val="00A97645"/>
    <w:rsid w:val="00A9797D"/>
    <w:rsid w:val="00AA045C"/>
    <w:rsid w:val="00AA1AC6"/>
    <w:rsid w:val="00AA1BCF"/>
    <w:rsid w:val="00AA2535"/>
    <w:rsid w:val="00AA26C4"/>
    <w:rsid w:val="00AA2761"/>
    <w:rsid w:val="00AA4819"/>
    <w:rsid w:val="00AA4873"/>
    <w:rsid w:val="00AA533A"/>
    <w:rsid w:val="00AA551A"/>
    <w:rsid w:val="00AA5EF3"/>
    <w:rsid w:val="00AA61A7"/>
    <w:rsid w:val="00AA696F"/>
    <w:rsid w:val="00AA6B3A"/>
    <w:rsid w:val="00AA7203"/>
    <w:rsid w:val="00AA72ED"/>
    <w:rsid w:val="00AA7F59"/>
    <w:rsid w:val="00AB093B"/>
    <w:rsid w:val="00AB0995"/>
    <w:rsid w:val="00AB0CE2"/>
    <w:rsid w:val="00AB17B5"/>
    <w:rsid w:val="00AB2633"/>
    <w:rsid w:val="00AB2E86"/>
    <w:rsid w:val="00AB31C2"/>
    <w:rsid w:val="00AB38E4"/>
    <w:rsid w:val="00AB47A1"/>
    <w:rsid w:val="00AB4943"/>
    <w:rsid w:val="00AB4DB3"/>
    <w:rsid w:val="00AB4E26"/>
    <w:rsid w:val="00AB56EC"/>
    <w:rsid w:val="00AB5D3A"/>
    <w:rsid w:val="00AB5F77"/>
    <w:rsid w:val="00AB616A"/>
    <w:rsid w:val="00AB6866"/>
    <w:rsid w:val="00AB69A7"/>
    <w:rsid w:val="00AB7677"/>
    <w:rsid w:val="00AB76AE"/>
    <w:rsid w:val="00AC0F27"/>
    <w:rsid w:val="00AC1104"/>
    <w:rsid w:val="00AC11C3"/>
    <w:rsid w:val="00AC240A"/>
    <w:rsid w:val="00AC286D"/>
    <w:rsid w:val="00AC2CD1"/>
    <w:rsid w:val="00AC2EA5"/>
    <w:rsid w:val="00AC3930"/>
    <w:rsid w:val="00AC4E9B"/>
    <w:rsid w:val="00AC4F8F"/>
    <w:rsid w:val="00AC540B"/>
    <w:rsid w:val="00AC5FB8"/>
    <w:rsid w:val="00AC6F0F"/>
    <w:rsid w:val="00AC7180"/>
    <w:rsid w:val="00AC76A6"/>
    <w:rsid w:val="00AC7BA5"/>
    <w:rsid w:val="00AC7F9E"/>
    <w:rsid w:val="00AD03B4"/>
    <w:rsid w:val="00AD0E52"/>
    <w:rsid w:val="00AD0E9C"/>
    <w:rsid w:val="00AD1BF5"/>
    <w:rsid w:val="00AD1E45"/>
    <w:rsid w:val="00AD1F42"/>
    <w:rsid w:val="00AD2EA4"/>
    <w:rsid w:val="00AD3875"/>
    <w:rsid w:val="00AD3EBA"/>
    <w:rsid w:val="00AD3FC5"/>
    <w:rsid w:val="00AD50B7"/>
    <w:rsid w:val="00AD5126"/>
    <w:rsid w:val="00AD5C79"/>
    <w:rsid w:val="00AD5C9E"/>
    <w:rsid w:val="00AD6959"/>
    <w:rsid w:val="00AD6D6F"/>
    <w:rsid w:val="00AD7D36"/>
    <w:rsid w:val="00AD7DC6"/>
    <w:rsid w:val="00AE02F3"/>
    <w:rsid w:val="00AE07B8"/>
    <w:rsid w:val="00AE0964"/>
    <w:rsid w:val="00AE103D"/>
    <w:rsid w:val="00AE115B"/>
    <w:rsid w:val="00AE1DF1"/>
    <w:rsid w:val="00AE20CB"/>
    <w:rsid w:val="00AE248C"/>
    <w:rsid w:val="00AE26D4"/>
    <w:rsid w:val="00AE2B4C"/>
    <w:rsid w:val="00AE2D23"/>
    <w:rsid w:val="00AE349E"/>
    <w:rsid w:val="00AE38FE"/>
    <w:rsid w:val="00AE3ACC"/>
    <w:rsid w:val="00AE3D74"/>
    <w:rsid w:val="00AE4AA1"/>
    <w:rsid w:val="00AE51C5"/>
    <w:rsid w:val="00AE5367"/>
    <w:rsid w:val="00AE5587"/>
    <w:rsid w:val="00AE55C7"/>
    <w:rsid w:val="00AE6C90"/>
    <w:rsid w:val="00AE6CC3"/>
    <w:rsid w:val="00AE783C"/>
    <w:rsid w:val="00AE7AA2"/>
    <w:rsid w:val="00AF0327"/>
    <w:rsid w:val="00AF0C87"/>
    <w:rsid w:val="00AF0E70"/>
    <w:rsid w:val="00AF1910"/>
    <w:rsid w:val="00AF1B27"/>
    <w:rsid w:val="00AF238E"/>
    <w:rsid w:val="00AF32AA"/>
    <w:rsid w:val="00AF4C80"/>
    <w:rsid w:val="00AF5047"/>
    <w:rsid w:val="00AF5063"/>
    <w:rsid w:val="00AF51FA"/>
    <w:rsid w:val="00AF6BA5"/>
    <w:rsid w:val="00AF6D63"/>
    <w:rsid w:val="00AF7388"/>
    <w:rsid w:val="00B008FD"/>
    <w:rsid w:val="00B00CCC"/>
    <w:rsid w:val="00B022FA"/>
    <w:rsid w:val="00B03079"/>
    <w:rsid w:val="00B03DB0"/>
    <w:rsid w:val="00B04589"/>
    <w:rsid w:val="00B04F41"/>
    <w:rsid w:val="00B0573F"/>
    <w:rsid w:val="00B058CE"/>
    <w:rsid w:val="00B067DE"/>
    <w:rsid w:val="00B0718E"/>
    <w:rsid w:val="00B073AA"/>
    <w:rsid w:val="00B07AFD"/>
    <w:rsid w:val="00B109C4"/>
    <w:rsid w:val="00B10F85"/>
    <w:rsid w:val="00B1150B"/>
    <w:rsid w:val="00B11CE1"/>
    <w:rsid w:val="00B11D71"/>
    <w:rsid w:val="00B136B5"/>
    <w:rsid w:val="00B13F82"/>
    <w:rsid w:val="00B14C39"/>
    <w:rsid w:val="00B14F50"/>
    <w:rsid w:val="00B15962"/>
    <w:rsid w:val="00B15A69"/>
    <w:rsid w:val="00B15EF2"/>
    <w:rsid w:val="00B17B16"/>
    <w:rsid w:val="00B17B73"/>
    <w:rsid w:val="00B20281"/>
    <w:rsid w:val="00B216D4"/>
    <w:rsid w:val="00B22581"/>
    <w:rsid w:val="00B23425"/>
    <w:rsid w:val="00B2375D"/>
    <w:rsid w:val="00B23F1C"/>
    <w:rsid w:val="00B255B5"/>
    <w:rsid w:val="00B258C8"/>
    <w:rsid w:val="00B261AE"/>
    <w:rsid w:val="00B26EE4"/>
    <w:rsid w:val="00B27143"/>
    <w:rsid w:val="00B27272"/>
    <w:rsid w:val="00B27C22"/>
    <w:rsid w:val="00B30528"/>
    <w:rsid w:val="00B30C0C"/>
    <w:rsid w:val="00B315CB"/>
    <w:rsid w:val="00B32AEC"/>
    <w:rsid w:val="00B32E8B"/>
    <w:rsid w:val="00B3309D"/>
    <w:rsid w:val="00B33978"/>
    <w:rsid w:val="00B339BF"/>
    <w:rsid w:val="00B346D2"/>
    <w:rsid w:val="00B34F97"/>
    <w:rsid w:val="00B3556E"/>
    <w:rsid w:val="00B3584C"/>
    <w:rsid w:val="00B3612B"/>
    <w:rsid w:val="00B36277"/>
    <w:rsid w:val="00B371C7"/>
    <w:rsid w:val="00B37314"/>
    <w:rsid w:val="00B37D6F"/>
    <w:rsid w:val="00B403D8"/>
    <w:rsid w:val="00B41500"/>
    <w:rsid w:val="00B41DCE"/>
    <w:rsid w:val="00B41FC1"/>
    <w:rsid w:val="00B435FF"/>
    <w:rsid w:val="00B4407B"/>
    <w:rsid w:val="00B44464"/>
    <w:rsid w:val="00B45125"/>
    <w:rsid w:val="00B452EE"/>
    <w:rsid w:val="00B45D72"/>
    <w:rsid w:val="00B4607F"/>
    <w:rsid w:val="00B46510"/>
    <w:rsid w:val="00B46630"/>
    <w:rsid w:val="00B47395"/>
    <w:rsid w:val="00B4761D"/>
    <w:rsid w:val="00B47980"/>
    <w:rsid w:val="00B47CF6"/>
    <w:rsid w:val="00B51A51"/>
    <w:rsid w:val="00B52709"/>
    <w:rsid w:val="00B52A22"/>
    <w:rsid w:val="00B5332B"/>
    <w:rsid w:val="00B53554"/>
    <w:rsid w:val="00B54886"/>
    <w:rsid w:val="00B55DF1"/>
    <w:rsid w:val="00B55F39"/>
    <w:rsid w:val="00B564CE"/>
    <w:rsid w:val="00B567AC"/>
    <w:rsid w:val="00B56895"/>
    <w:rsid w:val="00B56AA4"/>
    <w:rsid w:val="00B57031"/>
    <w:rsid w:val="00B57492"/>
    <w:rsid w:val="00B57513"/>
    <w:rsid w:val="00B5771F"/>
    <w:rsid w:val="00B577EF"/>
    <w:rsid w:val="00B57929"/>
    <w:rsid w:val="00B57E21"/>
    <w:rsid w:val="00B57F16"/>
    <w:rsid w:val="00B600A3"/>
    <w:rsid w:val="00B60965"/>
    <w:rsid w:val="00B60C26"/>
    <w:rsid w:val="00B60D06"/>
    <w:rsid w:val="00B6159C"/>
    <w:rsid w:val="00B6193A"/>
    <w:rsid w:val="00B61D40"/>
    <w:rsid w:val="00B61DEE"/>
    <w:rsid w:val="00B634CE"/>
    <w:rsid w:val="00B64790"/>
    <w:rsid w:val="00B6527A"/>
    <w:rsid w:val="00B66971"/>
    <w:rsid w:val="00B66B43"/>
    <w:rsid w:val="00B72A11"/>
    <w:rsid w:val="00B7336A"/>
    <w:rsid w:val="00B7359B"/>
    <w:rsid w:val="00B73BF9"/>
    <w:rsid w:val="00B73F38"/>
    <w:rsid w:val="00B741E6"/>
    <w:rsid w:val="00B74567"/>
    <w:rsid w:val="00B756B0"/>
    <w:rsid w:val="00B763BB"/>
    <w:rsid w:val="00B7704D"/>
    <w:rsid w:val="00B7717A"/>
    <w:rsid w:val="00B77E8A"/>
    <w:rsid w:val="00B809E8"/>
    <w:rsid w:val="00B80BE4"/>
    <w:rsid w:val="00B80E6A"/>
    <w:rsid w:val="00B8165E"/>
    <w:rsid w:val="00B81819"/>
    <w:rsid w:val="00B81C68"/>
    <w:rsid w:val="00B8208B"/>
    <w:rsid w:val="00B82A04"/>
    <w:rsid w:val="00B82D68"/>
    <w:rsid w:val="00B82DB0"/>
    <w:rsid w:val="00B83094"/>
    <w:rsid w:val="00B836B6"/>
    <w:rsid w:val="00B843B2"/>
    <w:rsid w:val="00B84C69"/>
    <w:rsid w:val="00B85305"/>
    <w:rsid w:val="00B85A9D"/>
    <w:rsid w:val="00B85DB9"/>
    <w:rsid w:val="00B85F52"/>
    <w:rsid w:val="00B8750E"/>
    <w:rsid w:val="00B87EBA"/>
    <w:rsid w:val="00B906D1"/>
    <w:rsid w:val="00B90795"/>
    <w:rsid w:val="00B9220A"/>
    <w:rsid w:val="00B9266F"/>
    <w:rsid w:val="00B92AC6"/>
    <w:rsid w:val="00B94386"/>
    <w:rsid w:val="00B94928"/>
    <w:rsid w:val="00B9555B"/>
    <w:rsid w:val="00B96046"/>
    <w:rsid w:val="00B96C2D"/>
    <w:rsid w:val="00B976B6"/>
    <w:rsid w:val="00BA214D"/>
    <w:rsid w:val="00BA21FF"/>
    <w:rsid w:val="00BA288A"/>
    <w:rsid w:val="00BA2FBE"/>
    <w:rsid w:val="00BA34EF"/>
    <w:rsid w:val="00BA383D"/>
    <w:rsid w:val="00BA4654"/>
    <w:rsid w:val="00BA53E9"/>
    <w:rsid w:val="00BA554D"/>
    <w:rsid w:val="00BA5745"/>
    <w:rsid w:val="00BA6D6F"/>
    <w:rsid w:val="00BA7E4A"/>
    <w:rsid w:val="00BB0C07"/>
    <w:rsid w:val="00BB1257"/>
    <w:rsid w:val="00BB15FB"/>
    <w:rsid w:val="00BB22D0"/>
    <w:rsid w:val="00BB319D"/>
    <w:rsid w:val="00BB31AA"/>
    <w:rsid w:val="00BB424F"/>
    <w:rsid w:val="00BB4F7D"/>
    <w:rsid w:val="00BB6219"/>
    <w:rsid w:val="00BB68A4"/>
    <w:rsid w:val="00BB6FD0"/>
    <w:rsid w:val="00BB7875"/>
    <w:rsid w:val="00BB7A41"/>
    <w:rsid w:val="00BB7B13"/>
    <w:rsid w:val="00BC0302"/>
    <w:rsid w:val="00BC08C4"/>
    <w:rsid w:val="00BC0F7A"/>
    <w:rsid w:val="00BC0F91"/>
    <w:rsid w:val="00BC110B"/>
    <w:rsid w:val="00BC252D"/>
    <w:rsid w:val="00BC3693"/>
    <w:rsid w:val="00BC38CA"/>
    <w:rsid w:val="00BC43D3"/>
    <w:rsid w:val="00BC45F4"/>
    <w:rsid w:val="00BC49D5"/>
    <w:rsid w:val="00BC5D5B"/>
    <w:rsid w:val="00BC719B"/>
    <w:rsid w:val="00BD054B"/>
    <w:rsid w:val="00BD18BD"/>
    <w:rsid w:val="00BD266A"/>
    <w:rsid w:val="00BD2AE5"/>
    <w:rsid w:val="00BD3428"/>
    <w:rsid w:val="00BD3559"/>
    <w:rsid w:val="00BD3656"/>
    <w:rsid w:val="00BD3DFC"/>
    <w:rsid w:val="00BD44B4"/>
    <w:rsid w:val="00BD488C"/>
    <w:rsid w:val="00BD4936"/>
    <w:rsid w:val="00BD4D76"/>
    <w:rsid w:val="00BD5281"/>
    <w:rsid w:val="00BD5A1C"/>
    <w:rsid w:val="00BD6A78"/>
    <w:rsid w:val="00BD6F97"/>
    <w:rsid w:val="00BD7B14"/>
    <w:rsid w:val="00BE0834"/>
    <w:rsid w:val="00BE0DEB"/>
    <w:rsid w:val="00BE0EA8"/>
    <w:rsid w:val="00BE154A"/>
    <w:rsid w:val="00BE17D9"/>
    <w:rsid w:val="00BE1A59"/>
    <w:rsid w:val="00BE1B29"/>
    <w:rsid w:val="00BE22AF"/>
    <w:rsid w:val="00BE2682"/>
    <w:rsid w:val="00BE2F32"/>
    <w:rsid w:val="00BE3804"/>
    <w:rsid w:val="00BE56E6"/>
    <w:rsid w:val="00BE7E0A"/>
    <w:rsid w:val="00BE7F1E"/>
    <w:rsid w:val="00BF0115"/>
    <w:rsid w:val="00BF0346"/>
    <w:rsid w:val="00BF0526"/>
    <w:rsid w:val="00BF0DCD"/>
    <w:rsid w:val="00BF1B1C"/>
    <w:rsid w:val="00BF288E"/>
    <w:rsid w:val="00BF28EA"/>
    <w:rsid w:val="00BF2CD4"/>
    <w:rsid w:val="00BF2D54"/>
    <w:rsid w:val="00BF3310"/>
    <w:rsid w:val="00BF4ACC"/>
    <w:rsid w:val="00BF502C"/>
    <w:rsid w:val="00BF59D6"/>
    <w:rsid w:val="00BF6366"/>
    <w:rsid w:val="00BF6918"/>
    <w:rsid w:val="00BF6CD0"/>
    <w:rsid w:val="00BF6F60"/>
    <w:rsid w:val="00BF73AE"/>
    <w:rsid w:val="00BF7B46"/>
    <w:rsid w:val="00C003AB"/>
    <w:rsid w:val="00C053A9"/>
    <w:rsid w:val="00C055B1"/>
    <w:rsid w:val="00C055ED"/>
    <w:rsid w:val="00C057FE"/>
    <w:rsid w:val="00C05D5B"/>
    <w:rsid w:val="00C05E1F"/>
    <w:rsid w:val="00C062EF"/>
    <w:rsid w:val="00C0697B"/>
    <w:rsid w:val="00C06B4E"/>
    <w:rsid w:val="00C10683"/>
    <w:rsid w:val="00C1097C"/>
    <w:rsid w:val="00C117AA"/>
    <w:rsid w:val="00C11BA5"/>
    <w:rsid w:val="00C12758"/>
    <w:rsid w:val="00C134DA"/>
    <w:rsid w:val="00C15F64"/>
    <w:rsid w:val="00C161F8"/>
    <w:rsid w:val="00C16876"/>
    <w:rsid w:val="00C16B12"/>
    <w:rsid w:val="00C20323"/>
    <w:rsid w:val="00C2161E"/>
    <w:rsid w:val="00C21AE7"/>
    <w:rsid w:val="00C22551"/>
    <w:rsid w:val="00C240D2"/>
    <w:rsid w:val="00C24262"/>
    <w:rsid w:val="00C25014"/>
    <w:rsid w:val="00C259CA"/>
    <w:rsid w:val="00C259F8"/>
    <w:rsid w:val="00C25DCD"/>
    <w:rsid w:val="00C25E51"/>
    <w:rsid w:val="00C26364"/>
    <w:rsid w:val="00C30547"/>
    <w:rsid w:val="00C30592"/>
    <w:rsid w:val="00C31D93"/>
    <w:rsid w:val="00C31E6B"/>
    <w:rsid w:val="00C32890"/>
    <w:rsid w:val="00C328F9"/>
    <w:rsid w:val="00C3369C"/>
    <w:rsid w:val="00C33D34"/>
    <w:rsid w:val="00C34196"/>
    <w:rsid w:val="00C348CD"/>
    <w:rsid w:val="00C35995"/>
    <w:rsid w:val="00C365BD"/>
    <w:rsid w:val="00C367FE"/>
    <w:rsid w:val="00C37023"/>
    <w:rsid w:val="00C37AA3"/>
    <w:rsid w:val="00C37B0D"/>
    <w:rsid w:val="00C37CFD"/>
    <w:rsid w:val="00C407DC"/>
    <w:rsid w:val="00C4081E"/>
    <w:rsid w:val="00C40E98"/>
    <w:rsid w:val="00C4266A"/>
    <w:rsid w:val="00C438BB"/>
    <w:rsid w:val="00C438D3"/>
    <w:rsid w:val="00C442C8"/>
    <w:rsid w:val="00C44687"/>
    <w:rsid w:val="00C44F5D"/>
    <w:rsid w:val="00C44F5E"/>
    <w:rsid w:val="00C45EE5"/>
    <w:rsid w:val="00C4617A"/>
    <w:rsid w:val="00C461F8"/>
    <w:rsid w:val="00C46791"/>
    <w:rsid w:val="00C479FA"/>
    <w:rsid w:val="00C47CEA"/>
    <w:rsid w:val="00C47DD7"/>
    <w:rsid w:val="00C47EF8"/>
    <w:rsid w:val="00C500A0"/>
    <w:rsid w:val="00C50296"/>
    <w:rsid w:val="00C50F7C"/>
    <w:rsid w:val="00C51090"/>
    <w:rsid w:val="00C5236E"/>
    <w:rsid w:val="00C52D5E"/>
    <w:rsid w:val="00C52DE9"/>
    <w:rsid w:val="00C54E5C"/>
    <w:rsid w:val="00C55075"/>
    <w:rsid w:val="00C55D36"/>
    <w:rsid w:val="00C56B34"/>
    <w:rsid w:val="00C56B7A"/>
    <w:rsid w:val="00C57064"/>
    <w:rsid w:val="00C5719F"/>
    <w:rsid w:val="00C57993"/>
    <w:rsid w:val="00C57DBC"/>
    <w:rsid w:val="00C57DF4"/>
    <w:rsid w:val="00C61252"/>
    <w:rsid w:val="00C614A7"/>
    <w:rsid w:val="00C61B17"/>
    <w:rsid w:val="00C62F54"/>
    <w:rsid w:val="00C635DF"/>
    <w:rsid w:val="00C64CE6"/>
    <w:rsid w:val="00C6534A"/>
    <w:rsid w:val="00C65D3B"/>
    <w:rsid w:val="00C65F3E"/>
    <w:rsid w:val="00C66A7D"/>
    <w:rsid w:val="00C67274"/>
    <w:rsid w:val="00C6746B"/>
    <w:rsid w:val="00C7085A"/>
    <w:rsid w:val="00C708D7"/>
    <w:rsid w:val="00C70AA2"/>
    <w:rsid w:val="00C70B4E"/>
    <w:rsid w:val="00C71CE2"/>
    <w:rsid w:val="00C71D05"/>
    <w:rsid w:val="00C71DCE"/>
    <w:rsid w:val="00C71FA2"/>
    <w:rsid w:val="00C727E0"/>
    <w:rsid w:val="00C7430B"/>
    <w:rsid w:val="00C74DEF"/>
    <w:rsid w:val="00C75AE6"/>
    <w:rsid w:val="00C7637E"/>
    <w:rsid w:val="00C767D7"/>
    <w:rsid w:val="00C76815"/>
    <w:rsid w:val="00C76E67"/>
    <w:rsid w:val="00C77367"/>
    <w:rsid w:val="00C7740F"/>
    <w:rsid w:val="00C77F95"/>
    <w:rsid w:val="00C800E9"/>
    <w:rsid w:val="00C807C6"/>
    <w:rsid w:val="00C80C1B"/>
    <w:rsid w:val="00C814BC"/>
    <w:rsid w:val="00C81789"/>
    <w:rsid w:val="00C81A39"/>
    <w:rsid w:val="00C82114"/>
    <w:rsid w:val="00C82525"/>
    <w:rsid w:val="00C828D6"/>
    <w:rsid w:val="00C83150"/>
    <w:rsid w:val="00C83631"/>
    <w:rsid w:val="00C83A4E"/>
    <w:rsid w:val="00C8476E"/>
    <w:rsid w:val="00C84D57"/>
    <w:rsid w:val="00C84E6E"/>
    <w:rsid w:val="00C858A7"/>
    <w:rsid w:val="00C85BF2"/>
    <w:rsid w:val="00C85E22"/>
    <w:rsid w:val="00C879CE"/>
    <w:rsid w:val="00C90AD2"/>
    <w:rsid w:val="00C911C2"/>
    <w:rsid w:val="00C9130F"/>
    <w:rsid w:val="00C916F1"/>
    <w:rsid w:val="00C91EB2"/>
    <w:rsid w:val="00C929EA"/>
    <w:rsid w:val="00C92C58"/>
    <w:rsid w:val="00C92FF6"/>
    <w:rsid w:val="00C930B6"/>
    <w:rsid w:val="00C93715"/>
    <w:rsid w:val="00C93917"/>
    <w:rsid w:val="00C94D7A"/>
    <w:rsid w:val="00C96D41"/>
    <w:rsid w:val="00CA00B3"/>
    <w:rsid w:val="00CA0E30"/>
    <w:rsid w:val="00CA11D7"/>
    <w:rsid w:val="00CA120F"/>
    <w:rsid w:val="00CA23D9"/>
    <w:rsid w:val="00CA2CCD"/>
    <w:rsid w:val="00CA400B"/>
    <w:rsid w:val="00CA425F"/>
    <w:rsid w:val="00CA4879"/>
    <w:rsid w:val="00CA4B7B"/>
    <w:rsid w:val="00CA53B6"/>
    <w:rsid w:val="00CA5954"/>
    <w:rsid w:val="00CA646C"/>
    <w:rsid w:val="00CB053B"/>
    <w:rsid w:val="00CB129B"/>
    <w:rsid w:val="00CB1728"/>
    <w:rsid w:val="00CB2566"/>
    <w:rsid w:val="00CB2D27"/>
    <w:rsid w:val="00CB40D5"/>
    <w:rsid w:val="00CB48EC"/>
    <w:rsid w:val="00CB493F"/>
    <w:rsid w:val="00CB66D6"/>
    <w:rsid w:val="00CB6A1E"/>
    <w:rsid w:val="00CB791D"/>
    <w:rsid w:val="00CB7AF6"/>
    <w:rsid w:val="00CB7DAF"/>
    <w:rsid w:val="00CC0C53"/>
    <w:rsid w:val="00CC19D9"/>
    <w:rsid w:val="00CC2243"/>
    <w:rsid w:val="00CC2543"/>
    <w:rsid w:val="00CC2794"/>
    <w:rsid w:val="00CC2811"/>
    <w:rsid w:val="00CC2A63"/>
    <w:rsid w:val="00CC310E"/>
    <w:rsid w:val="00CC4118"/>
    <w:rsid w:val="00CC4D4B"/>
    <w:rsid w:val="00CC505A"/>
    <w:rsid w:val="00CC56FC"/>
    <w:rsid w:val="00CC58E1"/>
    <w:rsid w:val="00CC5CEF"/>
    <w:rsid w:val="00CC60F9"/>
    <w:rsid w:val="00CC64CB"/>
    <w:rsid w:val="00CC72B4"/>
    <w:rsid w:val="00CC7B5B"/>
    <w:rsid w:val="00CC7F1D"/>
    <w:rsid w:val="00CD2B61"/>
    <w:rsid w:val="00CD3659"/>
    <w:rsid w:val="00CD36D4"/>
    <w:rsid w:val="00CD3F4D"/>
    <w:rsid w:val="00CD406A"/>
    <w:rsid w:val="00CD42C5"/>
    <w:rsid w:val="00CD62ED"/>
    <w:rsid w:val="00CD653F"/>
    <w:rsid w:val="00CD672F"/>
    <w:rsid w:val="00CD6948"/>
    <w:rsid w:val="00CD6FC8"/>
    <w:rsid w:val="00CD732C"/>
    <w:rsid w:val="00CD7678"/>
    <w:rsid w:val="00CD78BF"/>
    <w:rsid w:val="00CD7AF9"/>
    <w:rsid w:val="00CE0EEE"/>
    <w:rsid w:val="00CE1901"/>
    <w:rsid w:val="00CE20C5"/>
    <w:rsid w:val="00CE2411"/>
    <w:rsid w:val="00CE332C"/>
    <w:rsid w:val="00CE3508"/>
    <w:rsid w:val="00CE3F3E"/>
    <w:rsid w:val="00CE441E"/>
    <w:rsid w:val="00CE5E4C"/>
    <w:rsid w:val="00CE5F9C"/>
    <w:rsid w:val="00CE6553"/>
    <w:rsid w:val="00CE6DB3"/>
    <w:rsid w:val="00CE70AD"/>
    <w:rsid w:val="00CE74E9"/>
    <w:rsid w:val="00CE762C"/>
    <w:rsid w:val="00CE78B0"/>
    <w:rsid w:val="00CE78DA"/>
    <w:rsid w:val="00CE7EF6"/>
    <w:rsid w:val="00CF06A5"/>
    <w:rsid w:val="00CF1BF9"/>
    <w:rsid w:val="00CF265E"/>
    <w:rsid w:val="00CF46EE"/>
    <w:rsid w:val="00CF4DED"/>
    <w:rsid w:val="00CF53D6"/>
    <w:rsid w:val="00CF5D52"/>
    <w:rsid w:val="00CF609B"/>
    <w:rsid w:val="00CF653B"/>
    <w:rsid w:val="00CF6A62"/>
    <w:rsid w:val="00D0051A"/>
    <w:rsid w:val="00D0296F"/>
    <w:rsid w:val="00D02DD0"/>
    <w:rsid w:val="00D036CD"/>
    <w:rsid w:val="00D03E5B"/>
    <w:rsid w:val="00D040B6"/>
    <w:rsid w:val="00D052B2"/>
    <w:rsid w:val="00D059BA"/>
    <w:rsid w:val="00D0630E"/>
    <w:rsid w:val="00D06650"/>
    <w:rsid w:val="00D06E70"/>
    <w:rsid w:val="00D0713F"/>
    <w:rsid w:val="00D07E02"/>
    <w:rsid w:val="00D1133C"/>
    <w:rsid w:val="00D118D3"/>
    <w:rsid w:val="00D12138"/>
    <w:rsid w:val="00D12E82"/>
    <w:rsid w:val="00D13DB7"/>
    <w:rsid w:val="00D14722"/>
    <w:rsid w:val="00D151D2"/>
    <w:rsid w:val="00D15734"/>
    <w:rsid w:val="00D1587E"/>
    <w:rsid w:val="00D15A90"/>
    <w:rsid w:val="00D15FBA"/>
    <w:rsid w:val="00D16FCA"/>
    <w:rsid w:val="00D17DFB"/>
    <w:rsid w:val="00D20638"/>
    <w:rsid w:val="00D20908"/>
    <w:rsid w:val="00D20BA1"/>
    <w:rsid w:val="00D21271"/>
    <w:rsid w:val="00D21A22"/>
    <w:rsid w:val="00D21EA4"/>
    <w:rsid w:val="00D21F10"/>
    <w:rsid w:val="00D224A1"/>
    <w:rsid w:val="00D22A42"/>
    <w:rsid w:val="00D22BD9"/>
    <w:rsid w:val="00D22F94"/>
    <w:rsid w:val="00D22F9B"/>
    <w:rsid w:val="00D23B5F"/>
    <w:rsid w:val="00D23DF5"/>
    <w:rsid w:val="00D240BE"/>
    <w:rsid w:val="00D25087"/>
    <w:rsid w:val="00D252AF"/>
    <w:rsid w:val="00D2565A"/>
    <w:rsid w:val="00D257C2"/>
    <w:rsid w:val="00D26564"/>
    <w:rsid w:val="00D26AD5"/>
    <w:rsid w:val="00D26DCA"/>
    <w:rsid w:val="00D270E5"/>
    <w:rsid w:val="00D27496"/>
    <w:rsid w:val="00D27A6A"/>
    <w:rsid w:val="00D27E1F"/>
    <w:rsid w:val="00D30773"/>
    <w:rsid w:val="00D31AE9"/>
    <w:rsid w:val="00D322C5"/>
    <w:rsid w:val="00D32E54"/>
    <w:rsid w:val="00D333EA"/>
    <w:rsid w:val="00D33DD5"/>
    <w:rsid w:val="00D34A8D"/>
    <w:rsid w:val="00D3569C"/>
    <w:rsid w:val="00D35806"/>
    <w:rsid w:val="00D359A1"/>
    <w:rsid w:val="00D359B7"/>
    <w:rsid w:val="00D35D49"/>
    <w:rsid w:val="00D35F55"/>
    <w:rsid w:val="00D3632C"/>
    <w:rsid w:val="00D36909"/>
    <w:rsid w:val="00D3756A"/>
    <w:rsid w:val="00D4081E"/>
    <w:rsid w:val="00D40B4B"/>
    <w:rsid w:val="00D40EBE"/>
    <w:rsid w:val="00D410BA"/>
    <w:rsid w:val="00D42025"/>
    <w:rsid w:val="00D421AF"/>
    <w:rsid w:val="00D42766"/>
    <w:rsid w:val="00D42F3F"/>
    <w:rsid w:val="00D42FCB"/>
    <w:rsid w:val="00D432F8"/>
    <w:rsid w:val="00D43408"/>
    <w:rsid w:val="00D43980"/>
    <w:rsid w:val="00D44171"/>
    <w:rsid w:val="00D44301"/>
    <w:rsid w:val="00D44793"/>
    <w:rsid w:val="00D469D1"/>
    <w:rsid w:val="00D46C85"/>
    <w:rsid w:val="00D46DD2"/>
    <w:rsid w:val="00D46E80"/>
    <w:rsid w:val="00D50D48"/>
    <w:rsid w:val="00D516C8"/>
    <w:rsid w:val="00D51FC5"/>
    <w:rsid w:val="00D53D3C"/>
    <w:rsid w:val="00D5450A"/>
    <w:rsid w:val="00D547BD"/>
    <w:rsid w:val="00D557F6"/>
    <w:rsid w:val="00D55B83"/>
    <w:rsid w:val="00D55F73"/>
    <w:rsid w:val="00D60D8B"/>
    <w:rsid w:val="00D614FC"/>
    <w:rsid w:val="00D615D1"/>
    <w:rsid w:val="00D617D2"/>
    <w:rsid w:val="00D618BF"/>
    <w:rsid w:val="00D628FA"/>
    <w:rsid w:val="00D62FCA"/>
    <w:rsid w:val="00D6402B"/>
    <w:rsid w:val="00D64D2A"/>
    <w:rsid w:val="00D65440"/>
    <w:rsid w:val="00D65A88"/>
    <w:rsid w:val="00D6605B"/>
    <w:rsid w:val="00D66482"/>
    <w:rsid w:val="00D66A26"/>
    <w:rsid w:val="00D67D53"/>
    <w:rsid w:val="00D70835"/>
    <w:rsid w:val="00D7085F"/>
    <w:rsid w:val="00D708F7"/>
    <w:rsid w:val="00D718FF"/>
    <w:rsid w:val="00D71B19"/>
    <w:rsid w:val="00D71E84"/>
    <w:rsid w:val="00D727E5"/>
    <w:rsid w:val="00D72B1A"/>
    <w:rsid w:val="00D72E90"/>
    <w:rsid w:val="00D739FC"/>
    <w:rsid w:val="00D73C5C"/>
    <w:rsid w:val="00D73F8F"/>
    <w:rsid w:val="00D769DC"/>
    <w:rsid w:val="00D77FA4"/>
    <w:rsid w:val="00D805B5"/>
    <w:rsid w:val="00D82C24"/>
    <w:rsid w:val="00D82C7C"/>
    <w:rsid w:val="00D8349E"/>
    <w:rsid w:val="00D835B6"/>
    <w:rsid w:val="00D8363F"/>
    <w:rsid w:val="00D83F98"/>
    <w:rsid w:val="00D84015"/>
    <w:rsid w:val="00D847EB"/>
    <w:rsid w:val="00D853A5"/>
    <w:rsid w:val="00D865A1"/>
    <w:rsid w:val="00D8664C"/>
    <w:rsid w:val="00D86C1B"/>
    <w:rsid w:val="00D86E9D"/>
    <w:rsid w:val="00D87946"/>
    <w:rsid w:val="00D87C4A"/>
    <w:rsid w:val="00D90187"/>
    <w:rsid w:val="00D901FD"/>
    <w:rsid w:val="00D908BD"/>
    <w:rsid w:val="00D90A7B"/>
    <w:rsid w:val="00D90B7D"/>
    <w:rsid w:val="00D90C93"/>
    <w:rsid w:val="00D9150F"/>
    <w:rsid w:val="00D917EE"/>
    <w:rsid w:val="00D91905"/>
    <w:rsid w:val="00D92680"/>
    <w:rsid w:val="00D92E51"/>
    <w:rsid w:val="00D9358A"/>
    <w:rsid w:val="00D93815"/>
    <w:rsid w:val="00D939DF"/>
    <w:rsid w:val="00D93C74"/>
    <w:rsid w:val="00D94213"/>
    <w:rsid w:val="00D9437A"/>
    <w:rsid w:val="00D95316"/>
    <w:rsid w:val="00D95E3E"/>
    <w:rsid w:val="00D9614F"/>
    <w:rsid w:val="00D964F6"/>
    <w:rsid w:val="00D96B73"/>
    <w:rsid w:val="00D97958"/>
    <w:rsid w:val="00D97AAF"/>
    <w:rsid w:val="00DA03D5"/>
    <w:rsid w:val="00DA1622"/>
    <w:rsid w:val="00DA1EB8"/>
    <w:rsid w:val="00DA2240"/>
    <w:rsid w:val="00DA27CE"/>
    <w:rsid w:val="00DA2D84"/>
    <w:rsid w:val="00DA3C2E"/>
    <w:rsid w:val="00DA40A6"/>
    <w:rsid w:val="00DA4A17"/>
    <w:rsid w:val="00DA5933"/>
    <w:rsid w:val="00DA5C80"/>
    <w:rsid w:val="00DA671F"/>
    <w:rsid w:val="00DA69A1"/>
    <w:rsid w:val="00DB0280"/>
    <w:rsid w:val="00DB06FF"/>
    <w:rsid w:val="00DB0AC7"/>
    <w:rsid w:val="00DB304F"/>
    <w:rsid w:val="00DB3577"/>
    <w:rsid w:val="00DB4310"/>
    <w:rsid w:val="00DB4CFC"/>
    <w:rsid w:val="00DB4FB4"/>
    <w:rsid w:val="00DB4FB7"/>
    <w:rsid w:val="00DB5A68"/>
    <w:rsid w:val="00DB5BAA"/>
    <w:rsid w:val="00DB5D89"/>
    <w:rsid w:val="00DB610B"/>
    <w:rsid w:val="00DB616B"/>
    <w:rsid w:val="00DB68EC"/>
    <w:rsid w:val="00DB6ACC"/>
    <w:rsid w:val="00DB701D"/>
    <w:rsid w:val="00DB77B0"/>
    <w:rsid w:val="00DB79F6"/>
    <w:rsid w:val="00DC063C"/>
    <w:rsid w:val="00DC0A68"/>
    <w:rsid w:val="00DC0ACC"/>
    <w:rsid w:val="00DC0CA3"/>
    <w:rsid w:val="00DC0D91"/>
    <w:rsid w:val="00DC10FE"/>
    <w:rsid w:val="00DC1250"/>
    <w:rsid w:val="00DC1498"/>
    <w:rsid w:val="00DC17FC"/>
    <w:rsid w:val="00DC1A6A"/>
    <w:rsid w:val="00DC1F06"/>
    <w:rsid w:val="00DC2E42"/>
    <w:rsid w:val="00DC2F16"/>
    <w:rsid w:val="00DC347A"/>
    <w:rsid w:val="00DC3E58"/>
    <w:rsid w:val="00DC40FF"/>
    <w:rsid w:val="00DC4122"/>
    <w:rsid w:val="00DC4FE9"/>
    <w:rsid w:val="00DC5CCA"/>
    <w:rsid w:val="00DC65BB"/>
    <w:rsid w:val="00DC75EC"/>
    <w:rsid w:val="00DC7D97"/>
    <w:rsid w:val="00DD021A"/>
    <w:rsid w:val="00DD0557"/>
    <w:rsid w:val="00DD06F0"/>
    <w:rsid w:val="00DD104A"/>
    <w:rsid w:val="00DD224C"/>
    <w:rsid w:val="00DD3C8B"/>
    <w:rsid w:val="00DD41EE"/>
    <w:rsid w:val="00DD42CD"/>
    <w:rsid w:val="00DD4377"/>
    <w:rsid w:val="00DD51D8"/>
    <w:rsid w:val="00DD56B5"/>
    <w:rsid w:val="00DD5EE6"/>
    <w:rsid w:val="00DD737B"/>
    <w:rsid w:val="00DE0309"/>
    <w:rsid w:val="00DE0E8C"/>
    <w:rsid w:val="00DE3001"/>
    <w:rsid w:val="00DE4D74"/>
    <w:rsid w:val="00DE560C"/>
    <w:rsid w:val="00DE5A86"/>
    <w:rsid w:val="00DE6D1F"/>
    <w:rsid w:val="00DE7692"/>
    <w:rsid w:val="00DE7C65"/>
    <w:rsid w:val="00DF0473"/>
    <w:rsid w:val="00DF0819"/>
    <w:rsid w:val="00DF2123"/>
    <w:rsid w:val="00DF38A3"/>
    <w:rsid w:val="00DF5CD9"/>
    <w:rsid w:val="00DF6763"/>
    <w:rsid w:val="00DF6F85"/>
    <w:rsid w:val="00DF70BD"/>
    <w:rsid w:val="00DF7545"/>
    <w:rsid w:val="00DF7B00"/>
    <w:rsid w:val="00E00A1E"/>
    <w:rsid w:val="00E00FC1"/>
    <w:rsid w:val="00E01052"/>
    <w:rsid w:val="00E029D0"/>
    <w:rsid w:val="00E02F54"/>
    <w:rsid w:val="00E0326C"/>
    <w:rsid w:val="00E04690"/>
    <w:rsid w:val="00E04991"/>
    <w:rsid w:val="00E04B4C"/>
    <w:rsid w:val="00E04D8B"/>
    <w:rsid w:val="00E0564F"/>
    <w:rsid w:val="00E0582D"/>
    <w:rsid w:val="00E05C23"/>
    <w:rsid w:val="00E0635E"/>
    <w:rsid w:val="00E0686C"/>
    <w:rsid w:val="00E069EF"/>
    <w:rsid w:val="00E100FA"/>
    <w:rsid w:val="00E108E1"/>
    <w:rsid w:val="00E11E89"/>
    <w:rsid w:val="00E12E13"/>
    <w:rsid w:val="00E135C9"/>
    <w:rsid w:val="00E1363A"/>
    <w:rsid w:val="00E1454B"/>
    <w:rsid w:val="00E148E2"/>
    <w:rsid w:val="00E14DAC"/>
    <w:rsid w:val="00E150AD"/>
    <w:rsid w:val="00E15750"/>
    <w:rsid w:val="00E15944"/>
    <w:rsid w:val="00E1598C"/>
    <w:rsid w:val="00E15AD5"/>
    <w:rsid w:val="00E160C0"/>
    <w:rsid w:val="00E16216"/>
    <w:rsid w:val="00E20000"/>
    <w:rsid w:val="00E202D3"/>
    <w:rsid w:val="00E20C14"/>
    <w:rsid w:val="00E2102B"/>
    <w:rsid w:val="00E22F38"/>
    <w:rsid w:val="00E23C7E"/>
    <w:rsid w:val="00E262DA"/>
    <w:rsid w:val="00E263FA"/>
    <w:rsid w:val="00E27064"/>
    <w:rsid w:val="00E275DE"/>
    <w:rsid w:val="00E2767B"/>
    <w:rsid w:val="00E276A5"/>
    <w:rsid w:val="00E27C7B"/>
    <w:rsid w:val="00E303BA"/>
    <w:rsid w:val="00E3043F"/>
    <w:rsid w:val="00E30654"/>
    <w:rsid w:val="00E30F6C"/>
    <w:rsid w:val="00E31182"/>
    <w:rsid w:val="00E314E4"/>
    <w:rsid w:val="00E3160B"/>
    <w:rsid w:val="00E31EDC"/>
    <w:rsid w:val="00E32B20"/>
    <w:rsid w:val="00E32D3D"/>
    <w:rsid w:val="00E33205"/>
    <w:rsid w:val="00E33B68"/>
    <w:rsid w:val="00E33EEB"/>
    <w:rsid w:val="00E3421D"/>
    <w:rsid w:val="00E34E30"/>
    <w:rsid w:val="00E35A5F"/>
    <w:rsid w:val="00E35C28"/>
    <w:rsid w:val="00E35D48"/>
    <w:rsid w:val="00E36105"/>
    <w:rsid w:val="00E3619E"/>
    <w:rsid w:val="00E36F97"/>
    <w:rsid w:val="00E373FF"/>
    <w:rsid w:val="00E374A4"/>
    <w:rsid w:val="00E3750E"/>
    <w:rsid w:val="00E37749"/>
    <w:rsid w:val="00E37D01"/>
    <w:rsid w:val="00E404C8"/>
    <w:rsid w:val="00E40E85"/>
    <w:rsid w:val="00E40F93"/>
    <w:rsid w:val="00E41372"/>
    <w:rsid w:val="00E41F50"/>
    <w:rsid w:val="00E4344B"/>
    <w:rsid w:val="00E441CB"/>
    <w:rsid w:val="00E44F09"/>
    <w:rsid w:val="00E45390"/>
    <w:rsid w:val="00E457A3"/>
    <w:rsid w:val="00E461AE"/>
    <w:rsid w:val="00E46822"/>
    <w:rsid w:val="00E46873"/>
    <w:rsid w:val="00E47B0D"/>
    <w:rsid w:val="00E47BBD"/>
    <w:rsid w:val="00E47CFF"/>
    <w:rsid w:val="00E50560"/>
    <w:rsid w:val="00E50C35"/>
    <w:rsid w:val="00E50CCD"/>
    <w:rsid w:val="00E50F78"/>
    <w:rsid w:val="00E511F2"/>
    <w:rsid w:val="00E5138D"/>
    <w:rsid w:val="00E51A78"/>
    <w:rsid w:val="00E51BD0"/>
    <w:rsid w:val="00E51E5C"/>
    <w:rsid w:val="00E521EE"/>
    <w:rsid w:val="00E5356F"/>
    <w:rsid w:val="00E55230"/>
    <w:rsid w:val="00E558CC"/>
    <w:rsid w:val="00E55F42"/>
    <w:rsid w:val="00E569BE"/>
    <w:rsid w:val="00E56B0D"/>
    <w:rsid w:val="00E56D82"/>
    <w:rsid w:val="00E57790"/>
    <w:rsid w:val="00E57B3E"/>
    <w:rsid w:val="00E603C2"/>
    <w:rsid w:val="00E609E9"/>
    <w:rsid w:val="00E61681"/>
    <w:rsid w:val="00E61710"/>
    <w:rsid w:val="00E6368B"/>
    <w:rsid w:val="00E6371A"/>
    <w:rsid w:val="00E63A3A"/>
    <w:rsid w:val="00E64DDE"/>
    <w:rsid w:val="00E65B8F"/>
    <w:rsid w:val="00E67224"/>
    <w:rsid w:val="00E673A7"/>
    <w:rsid w:val="00E67592"/>
    <w:rsid w:val="00E6796A"/>
    <w:rsid w:val="00E71711"/>
    <w:rsid w:val="00E71898"/>
    <w:rsid w:val="00E7355E"/>
    <w:rsid w:val="00E73689"/>
    <w:rsid w:val="00E73AA0"/>
    <w:rsid w:val="00E73F81"/>
    <w:rsid w:val="00E74B87"/>
    <w:rsid w:val="00E767BE"/>
    <w:rsid w:val="00E80829"/>
    <w:rsid w:val="00E80D8E"/>
    <w:rsid w:val="00E817C3"/>
    <w:rsid w:val="00E822D1"/>
    <w:rsid w:val="00E8237D"/>
    <w:rsid w:val="00E832C3"/>
    <w:rsid w:val="00E83C73"/>
    <w:rsid w:val="00E84190"/>
    <w:rsid w:val="00E84B9D"/>
    <w:rsid w:val="00E84D55"/>
    <w:rsid w:val="00E853CE"/>
    <w:rsid w:val="00E86015"/>
    <w:rsid w:val="00E861B6"/>
    <w:rsid w:val="00E86342"/>
    <w:rsid w:val="00E8799A"/>
    <w:rsid w:val="00E87AC6"/>
    <w:rsid w:val="00E87BD3"/>
    <w:rsid w:val="00E903DA"/>
    <w:rsid w:val="00E9094D"/>
    <w:rsid w:val="00E91131"/>
    <w:rsid w:val="00E91BD9"/>
    <w:rsid w:val="00E92287"/>
    <w:rsid w:val="00E92686"/>
    <w:rsid w:val="00E92A79"/>
    <w:rsid w:val="00E92ACD"/>
    <w:rsid w:val="00E935C7"/>
    <w:rsid w:val="00E94475"/>
    <w:rsid w:val="00E9572E"/>
    <w:rsid w:val="00E95D43"/>
    <w:rsid w:val="00E961E8"/>
    <w:rsid w:val="00E978D2"/>
    <w:rsid w:val="00E97F8B"/>
    <w:rsid w:val="00EA02DA"/>
    <w:rsid w:val="00EA079A"/>
    <w:rsid w:val="00EA09E8"/>
    <w:rsid w:val="00EA0D59"/>
    <w:rsid w:val="00EA1425"/>
    <w:rsid w:val="00EA24BD"/>
    <w:rsid w:val="00EA3C41"/>
    <w:rsid w:val="00EA4792"/>
    <w:rsid w:val="00EA5A1A"/>
    <w:rsid w:val="00EA62AD"/>
    <w:rsid w:val="00EA6455"/>
    <w:rsid w:val="00EA69E8"/>
    <w:rsid w:val="00EA726C"/>
    <w:rsid w:val="00EA7955"/>
    <w:rsid w:val="00EB2470"/>
    <w:rsid w:val="00EB2A04"/>
    <w:rsid w:val="00EB35CF"/>
    <w:rsid w:val="00EB36C6"/>
    <w:rsid w:val="00EB3838"/>
    <w:rsid w:val="00EB542E"/>
    <w:rsid w:val="00EB610D"/>
    <w:rsid w:val="00EB62DB"/>
    <w:rsid w:val="00EB64BE"/>
    <w:rsid w:val="00EB6F4F"/>
    <w:rsid w:val="00EB7DD2"/>
    <w:rsid w:val="00EC0703"/>
    <w:rsid w:val="00EC0C0B"/>
    <w:rsid w:val="00EC0E5F"/>
    <w:rsid w:val="00EC1F00"/>
    <w:rsid w:val="00EC1F36"/>
    <w:rsid w:val="00EC2B12"/>
    <w:rsid w:val="00EC2B9B"/>
    <w:rsid w:val="00EC498A"/>
    <w:rsid w:val="00EC4D08"/>
    <w:rsid w:val="00EC4EEE"/>
    <w:rsid w:val="00EC58CC"/>
    <w:rsid w:val="00EC5C5B"/>
    <w:rsid w:val="00EC6414"/>
    <w:rsid w:val="00EC6874"/>
    <w:rsid w:val="00EC68B2"/>
    <w:rsid w:val="00EC7D9F"/>
    <w:rsid w:val="00ED06E0"/>
    <w:rsid w:val="00ED0D35"/>
    <w:rsid w:val="00ED1165"/>
    <w:rsid w:val="00ED19EC"/>
    <w:rsid w:val="00ED1CC2"/>
    <w:rsid w:val="00ED2DA6"/>
    <w:rsid w:val="00ED2FFB"/>
    <w:rsid w:val="00ED31C8"/>
    <w:rsid w:val="00ED32B0"/>
    <w:rsid w:val="00ED3797"/>
    <w:rsid w:val="00ED48C5"/>
    <w:rsid w:val="00ED5706"/>
    <w:rsid w:val="00ED6E3F"/>
    <w:rsid w:val="00ED71F9"/>
    <w:rsid w:val="00ED73D8"/>
    <w:rsid w:val="00EE02FC"/>
    <w:rsid w:val="00EE20A8"/>
    <w:rsid w:val="00EE2CD7"/>
    <w:rsid w:val="00EE2D6C"/>
    <w:rsid w:val="00EE2E2D"/>
    <w:rsid w:val="00EE391F"/>
    <w:rsid w:val="00EE3D73"/>
    <w:rsid w:val="00EE451E"/>
    <w:rsid w:val="00EE4C46"/>
    <w:rsid w:val="00EE6885"/>
    <w:rsid w:val="00EE69B8"/>
    <w:rsid w:val="00EE708F"/>
    <w:rsid w:val="00EE7341"/>
    <w:rsid w:val="00EF01F3"/>
    <w:rsid w:val="00EF07E5"/>
    <w:rsid w:val="00EF0DE2"/>
    <w:rsid w:val="00EF1642"/>
    <w:rsid w:val="00EF20C4"/>
    <w:rsid w:val="00EF21A6"/>
    <w:rsid w:val="00EF2D36"/>
    <w:rsid w:val="00EF4029"/>
    <w:rsid w:val="00EF42E2"/>
    <w:rsid w:val="00EF4990"/>
    <w:rsid w:val="00EF5544"/>
    <w:rsid w:val="00EF6514"/>
    <w:rsid w:val="00EF651E"/>
    <w:rsid w:val="00EF703A"/>
    <w:rsid w:val="00EF7293"/>
    <w:rsid w:val="00EF7A92"/>
    <w:rsid w:val="00EF7BEE"/>
    <w:rsid w:val="00F0005C"/>
    <w:rsid w:val="00F00D56"/>
    <w:rsid w:val="00F00DD5"/>
    <w:rsid w:val="00F01561"/>
    <w:rsid w:val="00F0279C"/>
    <w:rsid w:val="00F04C75"/>
    <w:rsid w:val="00F05431"/>
    <w:rsid w:val="00F05C25"/>
    <w:rsid w:val="00F05FCE"/>
    <w:rsid w:val="00F06899"/>
    <w:rsid w:val="00F068E3"/>
    <w:rsid w:val="00F0742D"/>
    <w:rsid w:val="00F101A7"/>
    <w:rsid w:val="00F10406"/>
    <w:rsid w:val="00F1113D"/>
    <w:rsid w:val="00F11A57"/>
    <w:rsid w:val="00F11AE3"/>
    <w:rsid w:val="00F12747"/>
    <w:rsid w:val="00F12D6F"/>
    <w:rsid w:val="00F12E24"/>
    <w:rsid w:val="00F15B99"/>
    <w:rsid w:val="00F15CBF"/>
    <w:rsid w:val="00F1610D"/>
    <w:rsid w:val="00F165D1"/>
    <w:rsid w:val="00F16EB8"/>
    <w:rsid w:val="00F16F70"/>
    <w:rsid w:val="00F20646"/>
    <w:rsid w:val="00F20E71"/>
    <w:rsid w:val="00F2325D"/>
    <w:rsid w:val="00F237E0"/>
    <w:rsid w:val="00F241AA"/>
    <w:rsid w:val="00F2427C"/>
    <w:rsid w:val="00F25872"/>
    <w:rsid w:val="00F25BF0"/>
    <w:rsid w:val="00F262C5"/>
    <w:rsid w:val="00F265D8"/>
    <w:rsid w:val="00F26704"/>
    <w:rsid w:val="00F26778"/>
    <w:rsid w:val="00F26F7B"/>
    <w:rsid w:val="00F27BE1"/>
    <w:rsid w:val="00F3008E"/>
    <w:rsid w:val="00F30A7A"/>
    <w:rsid w:val="00F30B42"/>
    <w:rsid w:val="00F30D92"/>
    <w:rsid w:val="00F31426"/>
    <w:rsid w:val="00F32652"/>
    <w:rsid w:val="00F32803"/>
    <w:rsid w:val="00F32934"/>
    <w:rsid w:val="00F32AE3"/>
    <w:rsid w:val="00F3386F"/>
    <w:rsid w:val="00F33BE1"/>
    <w:rsid w:val="00F345C4"/>
    <w:rsid w:val="00F350EF"/>
    <w:rsid w:val="00F36002"/>
    <w:rsid w:val="00F3684F"/>
    <w:rsid w:val="00F37871"/>
    <w:rsid w:val="00F37E92"/>
    <w:rsid w:val="00F401F9"/>
    <w:rsid w:val="00F4196C"/>
    <w:rsid w:val="00F41E33"/>
    <w:rsid w:val="00F420F8"/>
    <w:rsid w:val="00F42424"/>
    <w:rsid w:val="00F438BC"/>
    <w:rsid w:val="00F43E4F"/>
    <w:rsid w:val="00F458D0"/>
    <w:rsid w:val="00F46014"/>
    <w:rsid w:val="00F468F6"/>
    <w:rsid w:val="00F46AEA"/>
    <w:rsid w:val="00F46B14"/>
    <w:rsid w:val="00F47350"/>
    <w:rsid w:val="00F5021B"/>
    <w:rsid w:val="00F503D4"/>
    <w:rsid w:val="00F50557"/>
    <w:rsid w:val="00F50FB2"/>
    <w:rsid w:val="00F5135A"/>
    <w:rsid w:val="00F51415"/>
    <w:rsid w:val="00F51480"/>
    <w:rsid w:val="00F51A7B"/>
    <w:rsid w:val="00F51C84"/>
    <w:rsid w:val="00F523AC"/>
    <w:rsid w:val="00F52691"/>
    <w:rsid w:val="00F52FE6"/>
    <w:rsid w:val="00F53120"/>
    <w:rsid w:val="00F533D4"/>
    <w:rsid w:val="00F533E3"/>
    <w:rsid w:val="00F53BFB"/>
    <w:rsid w:val="00F54120"/>
    <w:rsid w:val="00F54D32"/>
    <w:rsid w:val="00F5613F"/>
    <w:rsid w:val="00F5741B"/>
    <w:rsid w:val="00F57B9E"/>
    <w:rsid w:val="00F601C7"/>
    <w:rsid w:val="00F6095D"/>
    <w:rsid w:val="00F60AC2"/>
    <w:rsid w:val="00F6248F"/>
    <w:rsid w:val="00F62A85"/>
    <w:rsid w:val="00F63375"/>
    <w:rsid w:val="00F64857"/>
    <w:rsid w:val="00F64A40"/>
    <w:rsid w:val="00F654C3"/>
    <w:rsid w:val="00F65E04"/>
    <w:rsid w:val="00F6609D"/>
    <w:rsid w:val="00F6766D"/>
    <w:rsid w:val="00F6768F"/>
    <w:rsid w:val="00F67F9A"/>
    <w:rsid w:val="00F70E70"/>
    <w:rsid w:val="00F71026"/>
    <w:rsid w:val="00F71515"/>
    <w:rsid w:val="00F71C23"/>
    <w:rsid w:val="00F72848"/>
    <w:rsid w:val="00F7294C"/>
    <w:rsid w:val="00F72A31"/>
    <w:rsid w:val="00F72A93"/>
    <w:rsid w:val="00F72C32"/>
    <w:rsid w:val="00F734E5"/>
    <w:rsid w:val="00F743A0"/>
    <w:rsid w:val="00F74CC1"/>
    <w:rsid w:val="00F74F19"/>
    <w:rsid w:val="00F751F5"/>
    <w:rsid w:val="00F7527D"/>
    <w:rsid w:val="00F758A2"/>
    <w:rsid w:val="00F76B17"/>
    <w:rsid w:val="00F76BDE"/>
    <w:rsid w:val="00F77701"/>
    <w:rsid w:val="00F7796F"/>
    <w:rsid w:val="00F779EF"/>
    <w:rsid w:val="00F8005A"/>
    <w:rsid w:val="00F814BB"/>
    <w:rsid w:val="00F81C6D"/>
    <w:rsid w:val="00F81CAC"/>
    <w:rsid w:val="00F8203D"/>
    <w:rsid w:val="00F82ACE"/>
    <w:rsid w:val="00F83259"/>
    <w:rsid w:val="00F832A9"/>
    <w:rsid w:val="00F83A57"/>
    <w:rsid w:val="00F8450D"/>
    <w:rsid w:val="00F84838"/>
    <w:rsid w:val="00F84898"/>
    <w:rsid w:val="00F850DA"/>
    <w:rsid w:val="00F856BF"/>
    <w:rsid w:val="00F86150"/>
    <w:rsid w:val="00F8623F"/>
    <w:rsid w:val="00F86A85"/>
    <w:rsid w:val="00F871A8"/>
    <w:rsid w:val="00F87465"/>
    <w:rsid w:val="00F87F1C"/>
    <w:rsid w:val="00F901AD"/>
    <w:rsid w:val="00F90388"/>
    <w:rsid w:val="00F90738"/>
    <w:rsid w:val="00F90C9F"/>
    <w:rsid w:val="00F91273"/>
    <w:rsid w:val="00F9144F"/>
    <w:rsid w:val="00F91A6C"/>
    <w:rsid w:val="00F91D15"/>
    <w:rsid w:val="00F91E4F"/>
    <w:rsid w:val="00F91F72"/>
    <w:rsid w:val="00F92395"/>
    <w:rsid w:val="00F92D53"/>
    <w:rsid w:val="00F92D98"/>
    <w:rsid w:val="00F938DC"/>
    <w:rsid w:val="00F943E2"/>
    <w:rsid w:val="00F949D1"/>
    <w:rsid w:val="00F94ABA"/>
    <w:rsid w:val="00F969F6"/>
    <w:rsid w:val="00F96E23"/>
    <w:rsid w:val="00F97EEE"/>
    <w:rsid w:val="00FA147D"/>
    <w:rsid w:val="00FA17AE"/>
    <w:rsid w:val="00FA2BF5"/>
    <w:rsid w:val="00FA2F88"/>
    <w:rsid w:val="00FA36BF"/>
    <w:rsid w:val="00FA38DB"/>
    <w:rsid w:val="00FA4E5D"/>
    <w:rsid w:val="00FA4FCD"/>
    <w:rsid w:val="00FA50A1"/>
    <w:rsid w:val="00FA53CE"/>
    <w:rsid w:val="00FA6469"/>
    <w:rsid w:val="00FA6480"/>
    <w:rsid w:val="00FA6EE7"/>
    <w:rsid w:val="00FA778A"/>
    <w:rsid w:val="00FA783F"/>
    <w:rsid w:val="00FA78C8"/>
    <w:rsid w:val="00FA7A3A"/>
    <w:rsid w:val="00FB047F"/>
    <w:rsid w:val="00FB12AF"/>
    <w:rsid w:val="00FB1895"/>
    <w:rsid w:val="00FB1F6C"/>
    <w:rsid w:val="00FB20FC"/>
    <w:rsid w:val="00FB2930"/>
    <w:rsid w:val="00FB2C17"/>
    <w:rsid w:val="00FB3EEC"/>
    <w:rsid w:val="00FB583F"/>
    <w:rsid w:val="00FB5E65"/>
    <w:rsid w:val="00FB664B"/>
    <w:rsid w:val="00FB735C"/>
    <w:rsid w:val="00FC15D6"/>
    <w:rsid w:val="00FC2294"/>
    <w:rsid w:val="00FC22E1"/>
    <w:rsid w:val="00FC230A"/>
    <w:rsid w:val="00FC254F"/>
    <w:rsid w:val="00FC4EB7"/>
    <w:rsid w:val="00FC5902"/>
    <w:rsid w:val="00FC72CB"/>
    <w:rsid w:val="00FC7817"/>
    <w:rsid w:val="00FC7AA9"/>
    <w:rsid w:val="00FD0568"/>
    <w:rsid w:val="00FD1152"/>
    <w:rsid w:val="00FD13CF"/>
    <w:rsid w:val="00FD16F1"/>
    <w:rsid w:val="00FD1800"/>
    <w:rsid w:val="00FD21EA"/>
    <w:rsid w:val="00FD24E6"/>
    <w:rsid w:val="00FD2507"/>
    <w:rsid w:val="00FD2A13"/>
    <w:rsid w:val="00FD2BC7"/>
    <w:rsid w:val="00FD2C31"/>
    <w:rsid w:val="00FD3DA8"/>
    <w:rsid w:val="00FD407A"/>
    <w:rsid w:val="00FD487B"/>
    <w:rsid w:val="00FD52AB"/>
    <w:rsid w:val="00FD5E77"/>
    <w:rsid w:val="00FD6067"/>
    <w:rsid w:val="00FD6171"/>
    <w:rsid w:val="00FD641F"/>
    <w:rsid w:val="00FD6586"/>
    <w:rsid w:val="00FD67A6"/>
    <w:rsid w:val="00FD7154"/>
    <w:rsid w:val="00FD723C"/>
    <w:rsid w:val="00FD7754"/>
    <w:rsid w:val="00FD7A86"/>
    <w:rsid w:val="00FD7AC3"/>
    <w:rsid w:val="00FE0BA6"/>
    <w:rsid w:val="00FE0EEE"/>
    <w:rsid w:val="00FE14BF"/>
    <w:rsid w:val="00FE1807"/>
    <w:rsid w:val="00FE18BB"/>
    <w:rsid w:val="00FE2CBA"/>
    <w:rsid w:val="00FE3207"/>
    <w:rsid w:val="00FE3D89"/>
    <w:rsid w:val="00FE5734"/>
    <w:rsid w:val="00FE5781"/>
    <w:rsid w:val="00FE57BC"/>
    <w:rsid w:val="00FE5A3C"/>
    <w:rsid w:val="00FE61EF"/>
    <w:rsid w:val="00FE6B3B"/>
    <w:rsid w:val="00FE6F96"/>
    <w:rsid w:val="00FE73BE"/>
    <w:rsid w:val="00FF0374"/>
    <w:rsid w:val="00FF0C62"/>
    <w:rsid w:val="00FF0F6A"/>
    <w:rsid w:val="00FF12F9"/>
    <w:rsid w:val="00FF1665"/>
    <w:rsid w:val="00FF2759"/>
    <w:rsid w:val="00FF27CE"/>
    <w:rsid w:val="00FF2858"/>
    <w:rsid w:val="00FF2AB9"/>
    <w:rsid w:val="00FF3D34"/>
    <w:rsid w:val="00FF4037"/>
    <w:rsid w:val="00FF5A53"/>
    <w:rsid w:val="00FF5A7F"/>
    <w:rsid w:val="00FF61D3"/>
    <w:rsid w:val="00FF6265"/>
    <w:rsid w:val="00FF679A"/>
    <w:rsid w:val="00FF6E39"/>
    <w:rsid w:val="00FF6E77"/>
    <w:rsid w:val="00FF7752"/>
    <w:rsid w:val="00FF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jc w:val="center"/>
      <w:outlineLvl w:val="1"/>
    </w:pPr>
    <w:rPr>
      <w:rFonts w:ascii="Book Antiqua" w:hAnsi="Book Antiqua"/>
      <w:sz w:val="24"/>
      <w:szCs w:val="24"/>
    </w:rPr>
  </w:style>
  <w:style w:type="paragraph" w:styleId="Heading3">
    <w:name w:val="heading 3"/>
    <w:basedOn w:val="Normal"/>
    <w:next w:val="Normal"/>
    <w:qFormat/>
    <w:pPr>
      <w:keepNext/>
      <w:ind w:right="-187"/>
      <w:outlineLvl w:val="2"/>
    </w:pPr>
    <w:rPr>
      <w:rFonts w:ascii="Book Antiqua" w:hAnsi="Book Antiqua"/>
      <w:b/>
      <w:bCs/>
      <w:sz w:val="21"/>
      <w:szCs w:val="21"/>
    </w:rPr>
  </w:style>
  <w:style w:type="paragraph" w:styleId="Heading4">
    <w:name w:val="heading 4"/>
    <w:basedOn w:val="Normal"/>
    <w:next w:val="Normal"/>
    <w:qFormat/>
    <w:pPr>
      <w:keepNext/>
      <w:outlineLvl w:val="3"/>
    </w:pPr>
    <w:rPr>
      <w:rFonts w:ascii="Book Antiqua" w:hAnsi="Book Antiqu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ind w:left="283" w:hanging="283"/>
    </w:pPr>
  </w:style>
  <w:style w:type="character" w:styleId="PageNumber">
    <w:name w:val="page number"/>
    <w:basedOn w:val="DefaultParagraphFont"/>
  </w:style>
  <w:style w:type="paragraph" w:customStyle="1" w:styleId="Letterbodyparagraphs">
    <w:name w:val="Letter body paragraphs"/>
    <w:pPr>
      <w:spacing w:after="200"/>
    </w:pPr>
    <w:rPr>
      <w:rFonts w:ascii="Arial" w:hAnsi="Arial" w:cs="Arial"/>
    </w:rPr>
  </w:style>
  <w:style w:type="paragraph" w:styleId="BodyText2">
    <w:name w:val="Body Text 2"/>
    <w:basedOn w:val="Normal"/>
    <w:pPr>
      <w:ind w:right="-187"/>
    </w:pPr>
    <w:rPr>
      <w:rFonts w:ascii="Book Antiqua" w:hAnsi="Book Antiqua"/>
    </w:rPr>
  </w:style>
  <w:style w:type="paragraph" w:styleId="BodyText3">
    <w:name w:val="Body Text 3"/>
    <w:basedOn w:val="Normal"/>
    <w:pPr>
      <w:ind w:right="-187"/>
    </w:pPr>
    <w:rPr>
      <w:rFonts w:ascii="Book Antiqua" w:hAnsi="Book Antiqua"/>
      <w:sz w:val="21"/>
      <w:szCs w:val="21"/>
    </w:rPr>
  </w:style>
  <w:style w:type="paragraph" w:styleId="BodyTextIndent">
    <w:name w:val="Body Text Indent"/>
    <w:basedOn w:val="Normal"/>
    <w:pPr>
      <w:ind w:left="720"/>
    </w:pPr>
    <w:rPr>
      <w:rFonts w:ascii="Book Antiqua" w:hAnsi="Book Antiqua"/>
      <w:sz w:val="21"/>
      <w:szCs w:val="21"/>
    </w:rPr>
  </w:style>
  <w:style w:type="paragraph" w:styleId="BodyTextIndent2">
    <w:name w:val="Body Text Indent 2"/>
    <w:basedOn w:val="Normal"/>
    <w:pPr>
      <w:ind w:firstLine="720"/>
    </w:pPr>
    <w:rPr>
      <w:rFonts w:ascii="Book Antiqua" w:hAnsi="Book Antiqua"/>
      <w:sz w:val="21"/>
      <w:szCs w:val="21"/>
    </w:rPr>
  </w:style>
  <w:style w:type="paragraph" w:customStyle="1" w:styleId="RSKParagraphText">
    <w:name w:val="*RSK Paragraph Text"/>
    <w:basedOn w:val="Normal"/>
    <w:rsid w:val="002939D9"/>
    <w:pPr>
      <w:spacing w:after="200"/>
      <w:ind w:left="851"/>
      <w:jc w:val="both"/>
    </w:pPr>
    <w:rPr>
      <w:sz w:val="22"/>
      <w:szCs w:val="22"/>
      <w:lang w:eastAsia="en-US"/>
    </w:rPr>
  </w:style>
  <w:style w:type="paragraph" w:styleId="ListParagraph">
    <w:name w:val="List Paragraph"/>
    <w:basedOn w:val="Normal"/>
    <w:uiPriority w:val="34"/>
    <w:qFormat/>
    <w:rsid w:val="00A47C27"/>
    <w:pPr>
      <w:ind w:left="720"/>
      <w:contextualSpacing/>
    </w:pPr>
  </w:style>
  <w:style w:type="paragraph" w:styleId="BalloonText">
    <w:name w:val="Balloon Text"/>
    <w:basedOn w:val="Normal"/>
    <w:link w:val="BalloonTextChar"/>
    <w:uiPriority w:val="99"/>
    <w:semiHidden/>
    <w:unhideWhenUsed/>
    <w:rsid w:val="00CD7678"/>
    <w:rPr>
      <w:rFonts w:ascii="Tahoma" w:hAnsi="Tahoma" w:cs="Tahoma"/>
      <w:sz w:val="16"/>
      <w:szCs w:val="16"/>
    </w:rPr>
  </w:style>
  <w:style w:type="character" w:customStyle="1" w:styleId="BalloonTextChar">
    <w:name w:val="Balloon Text Char"/>
    <w:link w:val="BalloonText"/>
    <w:uiPriority w:val="99"/>
    <w:semiHidden/>
    <w:rsid w:val="00CD7678"/>
    <w:rPr>
      <w:rFonts w:ascii="Tahoma" w:hAnsi="Tahoma" w:cs="Tahoma"/>
      <w:sz w:val="16"/>
      <w:szCs w:val="16"/>
    </w:rPr>
  </w:style>
  <w:style w:type="character" w:styleId="Hyperlink">
    <w:name w:val="Hyperlink"/>
    <w:basedOn w:val="DefaultParagraphFont"/>
    <w:uiPriority w:val="99"/>
    <w:unhideWhenUsed/>
    <w:rsid w:val="00D65440"/>
    <w:rPr>
      <w:color w:val="0000FF" w:themeColor="hyperlink"/>
      <w:u w:val="single"/>
    </w:rPr>
  </w:style>
  <w:style w:type="table" w:styleId="TableGrid">
    <w:name w:val="Table Grid"/>
    <w:basedOn w:val="TableNormal"/>
    <w:uiPriority w:val="59"/>
    <w:rsid w:val="0097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07C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jc w:val="center"/>
      <w:outlineLvl w:val="1"/>
    </w:pPr>
    <w:rPr>
      <w:rFonts w:ascii="Book Antiqua" w:hAnsi="Book Antiqua"/>
      <w:sz w:val="24"/>
      <w:szCs w:val="24"/>
    </w:rPr>
  </w:style>
  <w:style w:type="paragraph" w:styleId="Heading3">
    <w:name w:val="heading 3"/>
    <w:basedOn w:val="Normal"/>
    <w:next w:val="Normal"/>
    <w:qFormat/>
    <w:pPr>
      <w:keepNext/>
      <w:ind w:right="-187"/>
      <w:outlineLvl w:val="2"/>
    </w:pPr>
    <w:rPr>
      <w:rFonts w:ascii="Book Antiqua" w:hAnsi="Book Antiqua"/>
      <w:b/>
      <w:bCs/>
      <w:sz w:val="21"/>
      <w:szCs w:val="21"/>
    </w:rPr>
  </w:style>
  <w:style w:type="paragraph" w:styleId="Heading4">
    <w:name w:val="heading 4"/>
    <w:basedOn w:val="Normal"/>
    <w:next w:val="Normal"/>
    <w:qFormat/>
    <w:pPr>
      <w:keepNext/>
      <w:outlineLvl w:val="3"/>
    </w:pPr>
    <w:rPr>
      <w:rFonts w:ascii="Book Antiqua" w:hAnsi="Book Antiqu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ind w:left="283" w:hanging="283"/>
    </w:pPr>
  </w:style>
  <w:style w:type="character" w:styleId="PageNumber">
    <w:name w:val="page number"/>
    <w:basedOn w:val="DefaultParagraphFont"/>
  </w:style>
  <w:style w:type="paragraph" w:customStyle="1" w:styleId="Letterbodyparagraphs">
    <w:name w:val="Letter body paragraphs"/>
    <w:pPr>
      <w:spacing w:after="200"/>
    </w:pPr>
    <w:rPr>
      <w:rFonts w:ascii="Arial" w:hAnsi="Arial" w:cs="Arial"/>
    </w:rPr>
  </w:style>
  <w:style w:type="paragraph" w:styleId="BodyText2">
    <w:name w:val="Body Text 2"/>
    <w:basedOn w:val="Normal"/>
    <w:pPr>
      <w:ind w:right="-187"/>
    </w:pPr>
    <w:rPr>
      <w:rFonts w:ascii="Book Antiqua" w:hAnsi="Book Antiqua"/>
    </w:rPr>
  </w:style>
  <w:style w:type="paragraph" w:styleId="BodyText3">
    <w:name w:val="Body Text 3"/>
    <w:basedOn w:val="Normal"/>
    <w:pPr>
      <w:ind w:right="-187"/>
    </w:pPr>
    <w:rPr>
      <w:rFonts w:ascii="Book Antiqua" w:hAnsi="Book Antiqua"/>
      <w:sz w:val="21"/>
      <w:szCs w:val="21"/>
    </w:rPr>
  </w:style>
  <w:style w:type="paragraph" w:styleId="BodyTextIndent">
    <w:name w:val="Body Text Indent"/>
    <w:basedOn w:val="Normal"/>
    <w:pPr>
      <w:ind w:left="720"/>
    </w:pPr>
    <w:rPr>
      <w:rFonts w:ascii="Book Antiqua" w:hAnsi="Book Antiqua"/>
      <w:sz w:val="21"/>
      <w:szCs w:val="21"/>
    </w:rPr>
  </w:style>
  <w:style w:type="paragraph" w:styleId="BodyTextIndent2">
    <w:name w:val="Body Text Indent 2"/>
    <w:basedOn w:val="Normal"/>
    <w:pPr>
      <w:ind w:firstLine="720"/>
    </w:pPr>
    <w:rPr>
      <w:rFonts w:ascii="Book Antiqua" w:hAnsi="Book Antiqua"/>
      <w:sz w:val="21"/>
      <w:szCs w:val="21"/>
    </w:rPr>
  </w:style>
  <w:style w:type="paragraph" w:customStyle="1" w:styleId="RSKParagraphText">
    <w:name w:val="*RSK Paragraph Text"/>
    <w:basedOn w:val="Normal"/>
    <w:rsid w:val="002939D9"/>
    <w:pPr>
      <w:spacing w:after="200"/>
      <w:ind w:left="851"/>
      <w:jc w:val="both"/>
    </w:pPr>
    <w:rPr>
      <w:sz w:val="22"/>
      <w:szCs w:val="22"/>
      <w:lang w:eastAsia="en-US"/>
    </w:rPr>
  </w:style>
  <w:style w:type="paragraph" w:styleId="ListParagraph">
    <w:name w:val="List Paragraph"/>
    <w:basedOn w:val="Normal"/>
    <w:uiPriority w:val="34"/>
    <w:qFormat/>
    <w:rsid w:val="00A47C27"/>
    <w:pPr>
      <w:ind w:left="720"/>
      <w:contextualSpacing/>
    </w:pPr>
  </w:style>
  <w:style w:type="paragraph" w:styleId="BalloonText">
    <w:name w:val="Balloon Text"/>
    <w:basedOn w:val="Normal"/>
    <w:link w:val="BalloonTextChar"/>
    <w:uiPriority w:val="99"/>
    <w:semiHidden/>
    <w:unhideWhenUsed/>
    <w:rsid w:val="00CD7678"/>
    <w:rPr>
      <w:rFonts w:ascii="Tahoma" w:hAnsi="Tahoma" w:cs="Tahoma"/>
      <w:sz w:val="16"/>
      <w:szCs w:val="16"/>
    </w:rPr>
  </w:style>
  <w:style w:type="character" w:customStyle="1" w:styleId="BalloonTextChar">
    <w:name w:val="Balloon Text Char"/>
    <w:link w:val="BalloonText"/>
    <w:uiPriority w:val="99"/>
    <w:semiHidden/>
    <w:rsid w:val="00CD7678"/>
    <w:rPr>
      <w:rFonts w:ascii="Tahoma" w:hAnsi="Tahoma" w:cs="Tahoma"/>
      <w:sz w:val="16"/>
      <w:szCs w:val="16"/>
    </w:rPr>
  </w:style>
  <w:style w:type="character" w:styleId="Hyperlink">
    <w:name w:val="Hyperlink"/>
    <w:basedOn w:val="DefaultParagraphFont"/>
    <w:uiPriority w:val="99"/>
    <w:unhideWhenUsed/>
    <w:rsid w:val="00D65440"/>
    <w:rPr>
      <w:color w:val="0000FF" w:themeColor="hyperlink"/>
      <w:u w:val="single"/>
    </w:rPr>
  </w:style>
  <w:style w:type="table" w:styleId="TableGrid">
    <w:name w:val="Table Grid"/>
    <w:basedOn w:val="TableNormal"/>
    <w:uiPriority w:val="59"/>
    <w:rsid w:val="0097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07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6822">
      <w:bodyDiv w:val="1"/>
      <w:marLeft w:val="0"/>
      <w:marRight w:val="0"/>
      <w:marTop w:val="0"/>
      <w:marBottom w:val="0"/>
      <w:divBdr>
        <w:top w:val="none" w:sz="0" w:space="0" w:color="auto"/>
        <w:left w:val="none" w:sz="0" w:space="0" w:color="auto"/>
        <w:bottom w:val="none" w:sz="0" w:space="0" w:color="auto"/>
        <w:right w:val="none" w:sz="0" w:space="0" w:color="auto"/>
      </w:divBdr>
    </w:div>
    <w:div w:id="5928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731D-0123-4213-9DC9-FA503873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AURACLEACOUSTICS</vt:lpstr>
    </vt:vector>
  </TitlesOfParts>
  <Company>Toshiba</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AURACLEACOUSTICS</dc:title>
  <dc:creator>Owen Clingan</dc:creator>
  <cp:lastModifiedBy>Owen Clingan</cp:lastModifiedBy>
  <cp:revision>4</cp:revision>
  <cp:lastPrinted>2020-03-20T15:51:00Z</cp:lastPrinted>
  <dcterms:created xsi:type="dcterms:W3CDTF">2020-03-21T15:09:00Z</dcterms:created>
  <dcterms:modified xsi:type="dcterms:W3CDTF">2020-03-21T17:54:00Z</dcterms:modified>
</cp:coreProperties>
</file>